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宋体" w:hAnsi="宋体" w:cs="宋体"/>
          <w:b/>
          <w:bCs/>
          <w:sz w:val="36"/>
          <w:szCs w:val="36"/>
        </w:rPr>
      </w:pPr>
    </w:p>
    <w:p>
      <w:pPr>
        <w:widowControl/>
        <w:spacing w:line="360" w:lineRule="auto"/>
        <w:jc w:val="center"/>
        <w:rPr>
          <w:rFonts w:ascii="宋体" w:hAnsi="宋体" w:cs="宋体"/>
          <w:b/>
          <w:bCs/>
          <w:sz w:val="36"/>
          <w:szCs w:val="36"/>
        </w:rPr>
      </w:pPr>
    </w:p>
    <w:p>
      <w:pPr>
        <w:widowControl/>
        <w:shd w:val="clear" w:color="auto" w:fill="FFFFFF"/>
        <w:spacing w:line="360" w:lineRule="auto"/>
        <w:jc w:val="center"/>
        <w:rPr>
          <w:rFonts w:ascii="宋体" w:hAnsi="宋体" w:cs="宋体"/>
          <w:b/>
          <w:bCs/>
          <w:sz w:val="40"/>
          <w:szCs w:val="40"/>
        </w:rPr>
      </w:pPr>
      <w:r>
        <w:rPr>
          <w:rFonts w:hint="eastAsia" w:ascii="宋体" w:hAnsi="宋体" w:cs="宋体"/>
          <w:b/>
          <w:bCs/>
          <w:sz w:val="40"/>
          <w:szCs w:val="40"/>
        </w:rPr>
        <w:t>江苏经贸职业技术学院医疗卫生保健服务委托</w:t>
      </w: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sz w:val="36"/>
          <w:szCs w:val="36"/>
        </w:rPr>
      </w:pPr>
      <w:r>
        <w:rPr>
          <w:rFonts w:hint="eastAsia" w:ascii="宋体" w:hAnsi="宋体" w:cs="宋体"/>
          <w:b/>
          <w:sz w:val="36"/>
          <w:szCs w:val="36"/>
        </w:rPr>
        <w:t>公开采购文件</w:t>
      </w:r>
    </w:p>
    <w:p>
      <w:pPr>
        <w:widowControl/>
        <w:spacing w:line="360" w:lineRule="auto"/>
        <w:jc w:val="center"/>
        <w:rPr>
          <w:rFonts w:ascii="宋体" w:hAnsi="宋体" w:cs="宋体"/>
          <w:b/>
          <w:sz w:val="36"/>
          <w:szCs w:val="36"/>
        </w:rPr>
      </w:pPr>
    </w:p>
    <w:p>
      <w:pPr>
        <w:widowControl/>
        <w:spacing w:line="360" w:lineRule="auto"/>
        <w:jc w:val="center"/>
        <w:rPr>
          <w:rFonts w:hint="eastAsia" w:ascii="宋体" w:hAnsi="宋体" w:cs="宋体"/>
          <w:b/>
          <w:sz w:val="36"/>
          <w:szCs w:val="36"/>
        </w:rPr>
      </w:pPr>
      <w:r>
        <w:rPr>
          <w:rFonts w:hint="eastAsia" w:ascii="宋体" w:hAnsi="宋体" w:cs="宋体"/>
          <w:b/>
          <w:sz w:val="36"/>
          <w:szCs w:val="36"/>
        </w:rPr>
        <w:t xml:space="preserve">项目编号：JSZC-320000-JSYC-G2026-0015 </w:t>
      </w:r>
    </w:p>
    <w:p>
      <w:pPr>
        <w:widowControl/>
        <w:spacing w:line="360" w:lineRule="auto"/>
        <w:jc w:val="center"/>
        <w:rPr>
          <w:rFonts w:ascii="宋体" w:hAnsi="宋体" w:cs="宋体"/>
          <w:b/>
          <w:sz w:val="36"/>
          <w:szCs w:val="36"/>
        </w:rPr>
      </w:pPr>
    </w:p>
    <w:p>
      <w:pPr>
        <w:widowControl/>
        <w:spacing w:line="360" w:lineRule="auto"/>
        <w:rPr>
          <w:rFonts w:ascii="宋体" w:hAnsi="宋体" w:cs="宋体"/>
          <w:b/>
          <w:sz w:val="36"/>
          <w:szCs w:val="36"/>
        </w:rPr>
      </w:pPr>
    </w:p>
    <w:p>
      <w:pPr>
        <w:widowControl/>
        <w:spacing w:line="360" w:lineRule="auto"/>
        <w:jc w:val="center"/>
        <w:rPr>
          <w:rFonts w:ascii="宋体" w:hAnsi="宋体" w:cs="宋体"/>
          <w:b/>
          <w:sz w:val="36"/>
          <w:szCs w:val="36"/>
        </w:rPr>
      </w:pPr>
    </w:p>
    <w:p>
      <w:pPr>
        <w:widowControl/>
        <w:spacing w:line="360" w:lineRule="auto"/>
        <w:jc w:val="center"/>
        <w:rPr>
          <w:rFonts w:ascii="宋体" w:hAnsi="宋体" w:cs="宋体"/>
          <w:b/>
          <w:bCs/>
          <w:sz w:val="36"/>
          <w:szCs w:val="36"/>
        </w:rPr>
      </w:pPr>
      <w:r>
        <w:rPr>
          <w:rFonts w:hint="eastAsia" w:ascii="宋体" w:hAnsi="宋体" w:cs="宋体"/>
          <w:b/>
          <w:bCs/>
          <w:sz w:val="36"/>
          <w:szCs w:val="36"/>
        </w:rPr>
        <w:t>采购人：江苏经贸职业技术学院</w:t>
      </w:r>
    </w:p>
    <w:p>
      <w:pPr>
        <w:widowControl/>
        <w:spacing w:line="360" w:lineRule="auto"/>
        <w:jc w:val="center"/>
        <w:rPr>
          <w:rFonts w:ascii="宋体" w:hAnsi="宋体" w:cs="宋体"/>
          <w:b/>
          <w:bCs/>
          <w:sz w:val="36"/>
          <w:szCs w:val="36"/>
        </w:rPr>
      </w:pPr>
      <w:r>
        <w:rPr>
          <w:rFonts w:hint="eastAsia" w:ascii="宋体" w:hAnsi="宋体" w:cs="宋体"/>
          <w:b/>
          <w:bCs/>
          <w:sz w:val="36"/>
          <w:szCs w:val="36"/>
        </w:rPr>
        <w:t>采购代理机构：江苏益诚建设工程咨询有限公司</w:t>
      </w:r>
    </w:p>
    <w:p>
      <w:pPr>
        <w:widowControl/>
        <w:spacing w:line="360" w:lineRule="auto"/>
        <w:jc w:val="center"/>
        <w:rPr>
          <w:rFonts w:ascii="宋体" w:hAnsi="宋体" w:cs="宋体"/>
          <w:b/>
          <w:bCs/>
          <w:sz w:val="36"/>
          <w:szCs w:val="36"/>
        </w:rPr>
        <w:sectPr>
          <w:headerReference r:id="rId4" w:type="first"/>
          <w:headerReference r:id="rId3" w:type="default"/>
          <w:footerReference r:id="rId5" w:type="default"/>
          <w:pgSz w:w="11906" w:h="16838"/>
          <w:pgMar w:top="1134" w:right="1134" w:bottom="1134" w:left="1134" w:header="850" w:footer="850" w:gutter="0"/>
          <w:cols w:space="720" w:num="1"/>
          <w:titlePg/>
          <w:docGrid w:linePitch="360" w:charSpace="0"/>
        </w:sectPr>
      </w:pPr>
      <w:r>
        <w:rPr>
          <w:rFonts w:hint="eastAsia" w:ascii="宋体" w:hAnsi="宋体" w:cs="宋体"/>
          <w:b/>
          <w:bCs/>
          <w:sz w:val="36"/>
          <w:szCs w:val="36"/>
        </w:rPr>
        <w:t xml:space="preserve">2026年6月 </w:t>
      </w:r>
    </w:p>
    <w:sdt>
      <w:sdtPr>
        <w:rPr>
          <w:rFonts w:hint="eastAsia" w:ascii="宋体" w:hAnsi="宋体" w:eastAsia="宋体" w:cs="宋体"/>
          <w:color w:val="auto"/>
          <w:sz w:val="21"/>
          <w:szCs w:val="24"/>
          <w:lang w:val="zh-CN"/>
        </w:rPr>
        <w:id w:val="-1426032923"/>
        <w:docPartObj>
          <w:docPartGallery w:val="Table of Contents"/>
          <w:docPartUnique/>
        </w:docPartObj>
      </w:sdtPr>
      <w:sdtEndPr>
        <w:rPr>
          <w:rFonts w:hint="eastAsia" w:ascii="宋体" w:hAnsi="宋体" w:eastAsia="宋体" w:cs="宋体"/>
          <w:color w:val="auto"/>
          <w:sz w:val="21"/>
          <w:szCs w:val="24"/>
          <w:lang w:val="zh-CN"/>
        </w:rPr>
      </w:sdtEndPr>
      <w:sdtContent>
        <w:p>
          <w:pPr>
            <w:pStyle w:val="353"/>
            <w:jc w:val="center"/>
            <w:rPr>
              <w:rFonts w:ascii="宋体" w:hAnsi="宋体" w:eastAsia="宋体" w:cs="宋体"/>
              <w:b/>
              <w:bCs/>
              <w:color w:val="auto"/>
            </w:rPr>
          </w:pPr>
          <w:r>
            <w:rPr>
              <w:rFonts w:hint="eastAsia" w:ascii="宋体" w:hAnsi="宋体" w:eastAsia="宋体" w:cs="宋体"/>
              <w:b/>
              <w:bCs/>
              <w:color w:val="auto"/>
              <w:lang w:val="zh-CN"/>
            </w:rPr>
            <w:t>目 录</w:t>
          </w:r>
        </w:p>
        <w:p>
          <w:pPr>
            <w:pStyle w:val="28"/>
            <w:tabs>
              <w:tab w:val="right" w:leader="dot" w:pos="9016"/>
            </w:tabs>
            <w:rPr>
              <w:rFonts w:ascii="宋体" w:hAnsi="宋体" w:cs="宋体"/>
              <w:b/>
              <w:bCs/>
              <w:sz w:val="30"/>
              <w:szCs w:val="30"/>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fldChar w:fldCharType="begin"/>
          </w:r>
          <w:r>
            <w:instrText xml:space="preserve"> HYPERLINK \l "_Toc176529667" </w:instrText>
          </w:r>
          <w:r>
            <w:fldChar w:fldCharType="separate"/>
          </w:r>
          <w:r>
            <w:rPr>
              <w:rStyle w:val="52"/>
              <w:rFonts w:hint="eastAsia" w:ascii="宋体" w:hAnsi="宋体" w:cs="宋体"/>
              <w:b/>
              <w:bCs/>
              <w:color w:val="auto"/>
              <w:sz w:val="30"/>
              <w:szCs w:val="30"/>
            </w:rPr>
            <w:t>第一章 招标公告</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_Toc176529667 \h </w:instrText>
          </w:r>
          <w:r>
            <w:rPr>
              <w:rFonts w:hint="eastAsia" w:ascii="宋体" w:hAnsi="宋体" w:cs="宋体"/>
              <w:b/>
              <w:bCs/>
              <w:sz w:val="30"/>
              <w:szCs w:val="30"/>
            </w:rPr>
            <w:fldChar w:fldCharType="separate"/>
          </w:r>
          <w:r>
            <w:rPr>
              <w:rFonts w:ascii="宋体" w:hAnsi="宋体" w:cs="宋体"/>
              <w:b/>
              <w:bCs/>
              <w:sz w:val="30"/>
              <w:szCs w:val="30"/>
            </w:rPr>
            <w:t>1</w:t>
          </w:r>
          <w:r>
            <w:rPr>
              <w:rFonts w:hint="eastAsia" w:ascii="宋体" w:hAnsi="宋体" w:cs="宋体"/>
              <w:b/>
              <w:bCs/>
              <w:sz w:val="30"/>
              <w:szCs w:val="30"/>
            </w:rPr>
            <w:fldChar w:fldCharType="end"/>
          </w:r>
          <w:r>
            <w:rPr>
              <w:rFonts w:hint="eastAsia" w:ascii="宋体" w:hAnsi="宋体" w:cs="宋体"/>
              <w:b/>
              <w:bCs/>
              <w:sz w:val="30"/>
              <w:szCs w:val="30"/>
            </w:rPr>
            <w:fldChar w:fldCharType="end"/>
          </w:r>
        </w:p>
        <w:p>
          <w:pPr>
            <w:pStyle w:val="28"/>
            <w:tabs>
              <w:tab w:val="right" w:leader="dot" w:pos="9016"/>
            </w:tabs>
            <w:rPr>
              <w:rFonts w:ascii="宋体" w:hAnsi="宋体" w:cs="宋体"/>
              <w:b/>
              <w:bCs/>
              <w:sz w:val="30"/>
              <w:szCs w:val="30"/>
            </w:rPr>
          </w:pPr>
          <w:r>
            <w:fldChar w:fldCharType="begin"/>
          </w:r>
          <w:r>
            <w:instrText xml:space="preserve"> HYPERLINK \l "_Toc176529668" </w:instrText>
          </w:r>
          <w:r>
            <w:fldChar w:fldCharType="separate"/>
          </w:r>
          <w:r>
            <w:rPr>
              <w:rStyle w:val="52"/>
              <w:rFonts w:hint="eastAsia" w:ascii="宋体" w:hAnsi="宋体" w:cs="宋体"/>
              <w:b/>
              <w:bCs/>
              <w:color w:val="auto"/>
              <w:sz w:val="30"/>
              <w:szCs w:val="30"/>
            </w:rPr>
            <w:t>第二章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_Toc176529668 \h </w:instrText>
          </w:r>
          <w:r>
            <w:rPr>
              <w:rFonts w:hint="eastAsia" w:ascii="宋体" w:hAnsi="宋体" w:cs="宋体"/>
              <w:b/>
              <w:bCs/>
              <w:sz w:val="30"/>
              <w:szCs w:val="30"/>
            </w:rPr>
            <w:fldChar w:fldCharType="separate"/>
          </w:r>
          <w:r>
            <w:rPr>
              <w:rFonts w:ascii="宋体" w:hAnsi="宋体" w:cs="宋体"/>
              <w:b/>
              <w:bCs/>
              <w:sz w:val="30"/>
              <w:szCs w:val="30"/>
            </w:rPr>
            <w:t>4</w:t>
          </w:r>
          <w:r>
            <w:rPr>
              <w:rFonts w:hint="eastAsia" w:ascii="宋体" w:hAnsi="宋体" w:cs="宋体"/>
              <w:b/>
              <w:bCs/>
              <w:sz w:val="30"/>
              <w:szCs w:val="30"/>
            </w:rPr>
            <w:fldChar w:fldCharType="end"/>
          </w:r>
          <w:r>
            <w:rPr>
              <w:rFonts w:hint="eastAsia" w:ascii="宋体" w:hAnsi="宋体" w:cs="宋体"/>
              <w:b/>
              <w:bCs/>
              <w:sz w:val="30"/>
              <w:szCs w:val="30"/>
            </w:rPr>
            <w:fldChar w:fldCharType="end"/>
          </w:r>
        </w:p>
        <w:p>
          <w:pPr>
            <w:pStyle w:val="28"/>
            <w:tabs>
              <w:tab w:val="right" w:leader="dot" w:pos="9016"/>
            </w:tabs>
            <w:rPr>
              <w:rFonts w:ascii="宋体" w:hAnsi="宋体" w:cs="宋体"/>
              <w:b/>
              <w:bCs/>
              <w:sz w:val="30"/>
              <w:szCs w:val="30"/>
            </w:rPr>
          </w:pPr>
          <w:r>
            <w:fldChar w:fldCharType="begin"/>
          </w:r>
          <w:r>
            <w:instrText xml:space="preserve"> HYPERLINK \l "_Toc176529669" </w:instrText>
          </w:r>
          <w:r>
            <w:fldChar w:fldCharType="separate"/>
          </w:r>
          <w:r>
            <w:rPr>
              <w:rStyle w:val="52"/>
              <w:rFonts w:hint="eastAsia" w:ascii="宋体" w:hAnsi="宋体" w:cs="宋体"/>
              <w:b/>
              <w:bCs/>
              <w:color w:val="auto"/>
              <w:sz w:val="30"/>
              <w:szCs w:val="30"/>
            </w:rPr>
            <w:t>第三章 评标标准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_Toc176529669 \h </w:instrText>
          </w:r>
          <w:r>
            <w:rPr>
              <w:rFonts w:hint="eastAsia" w:ascii="宋体" w:hAnsi="宋体" w:cs="宋体"/>
              <w:b/>
              <w:bCs/>
              <w:sz w:val="30"/>
              <w:szCs w:val="30"/>
            </w:rPr>
            <w:fldChar w:fldCharType="separate"/>
          </w:r>
          <w:r>
            <w:rPr>
              <w:rFonts w:ascii="宋体" w:hAnsi="宋体" w:cs="宋体"/>
              <w:b/>
              <w:bCs/>
              <w:sz w:val="30"/>
              <w:szCs w:val="30"/>
            </w:rPr>
            <w:t>13</w:t>
          </w:r>
          <w:r>
            <w:rPr>
              <w:rFonts w:hint="eastAsia" w:ascii="宋体" w:hAnsi="宋体" w:cs="宋体"/>
              <w:b/>
              <w:bCs/>
              <w:sz w:val="30"/>
              <w:szCs w:val="30"/>
            </w:rPr>
            <w:fldChar w:fldCharType="end"/>
          </w:r>
          <w:r>
            <w:rPr>
              <w:rFonts w:hint="eastAsia" w:ascii="宋体" w:hAnsi="宋体" w:cs="宋体"/>
              <w:b/>
              <w:bCs/>
              <w:sz w:val="30"/>
              <w:szCs w:val="30"/>
            </w:rPr>
            <w:fldChar w:fldCharType="end"/>
          </w:r>
        </w:p>
        <w:p>
          <w:pPr>
            <w:pStyle w:val="28"/>
            <w:tabs>
              <w:tab w:val="right" w:leader="dot" w:pos="9016"/>
            </w:tabs>
            <w:rPr>
              <w:rFonts w:ascii="宋体" w:hAnsi="宋体" w:cs="宋体"/>
              <w:b/>
              <w:bCs/>
              <w:sz w:val="30"/>
              <w:szCs w:val="30"/>
            </w:rPr>
          </w:pPr>
          <w:r>
            <w:fldChar w:fldCharType="begin"/>
          </w:r>
          <w:r>
            <w:instrText xml:space="preserve"> HYPERLINK \l "_Toc176529670" </w:instrText>
          </w:r>
          <w:r>
            <w:fldChar w:fldCharType="separate"/>
          </w:r>
          <w:r>
            <w:rPr>
              <w:rStyle w:val="52"/>
              <w:rFonts w:hint="eastAsia" w:ascii="宋体" w:hAnsi="宋体" w:cs="宋体"/>
              <w:b/>
              <w:bCs/>
              <w:color w:val="auto"/>
              <w:sz w:val="30"/>
              <w:szCs w:val="30"/>
            </w:rPr>
            <w:t>第四章 采购项目的内容和相关技术要求等</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_Toc176529670 \h </w:instrText>
          </w:r>
          <w:r>
            <w:rPr>
              <w:rFonts w:hint="eastAsia" w:ascii="宋体" w:hAnsi="宋体" w:cs="宋体"/>
              <w:b/>
              <w:bCs/>
              <w:sz w:val="30"/>
              <w:szCs w:val="30"/>
            </w:rPr>
            <w:fldChar w:fldCharType="separate"/>
          </w:r>
          <w:r>
            <w:rPr>
              <w:rFonts w:ascii="宋体" w:hAnsi="宋体" w:cs="宋体"/>
              <w:b/>
              <w:bCs/>
              <w:sz w:val="30"/>
              <w:szCs w:val="30"/>
            </w:rPr>
            <w:t>15</w:t>
          </w:r>
          <w:r>
            <w:rPr>
              <w:rFonts w:hint="eastAsia" w:ascii="宋体" w:hAnsi="宋体" w:cs="宋体"/>
              <w:b/>
              <w:bCs/>
              <w:sz w:val="30"/>
              <w:szCs w:val="30"/>
            </w:rPr>
            <w:fldChar w:fldCharType="end"/>
          </w:r>
          <w:r>
            <w:rPr>
              <w:rFonts w:hint="eastAsia" w:ascii="宋体" w:hAnsi="宋体" w:cs="宋体"/>
              <w:b/>
              <w:bCs/>
              <w:sz w:val="30"/>
              <w:szCs w:val="30"/>
            </w:rPr>
            <w:fldChar w:fldCharType="end"/>
          </w:r>
        </w:p>
        <w:p>
          <w:pPr>
            <w:pStyle w:val="28"/>
            <w:tabs>
              <w:tab w:val="right" w:leader="dot" w:pos="9016"/>
            </w:tabs>
            <w:rPr>
              <w:rFonts w:ascii="宋体" w:hAnsi="宋体" w:cs="宋体"/>
              <w:b/>
              <w:bCs/>
              <w:sz w:val="30"/>
              <w:szCs w:val="30"/>
            </w:rPr>
          </w:pPr>
          <w:r>
            <w:fldChar w:fldCharType="begin"/>
          </w:r>
          <w:r>
            <w:instrText xml:space="preserve"> HYPERLINK \l "_Toc176529671" </w:instrText>
          </w:r>
          <w:r>
            <w:fldChar w:fldCharType="separate"/>
          </w:r>
          <w:r>
            <w:rPr>
              <w:rStyle w:val="52"/>
              <w:rFonts w:hint="eastAsia" w:ascii="宋体" w:hAnsi="宋体" w:cs="宋体"/>
              <w:b/>
              <w:bCs/>
              <w:color w:val="auto"/>
              <w:sz w:val="30"/>
              <w:szCs w:val="30"/>
            </w:rPr>
            <w:t>第五章 合同主要条款及格式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_Toc176529671 \h </w:instrText>
          </w:r>
          <w:r>
            <w:rPr>
              <w:rFonts w:hint="eastAsia" w:ascii="宋体" w:hAnsi="宋体" w:cs="宋体"/>
              <w:b/>
              <w:bCs/>
              <w:sz w:val="30"/>
              <w:szCs w:val="30"/>
            </w:rPr>
            <w:fldChar w:fldCharType="separate"/>
          </w:r>
          <w:r>
            <w:rPr>
              <w:rFonts w:ascii="宋体" w:hAnsi="宋体" w:cs="宋体"/>
              <w:b/>
              <w:bCs/>
              <w:sz w:val="30"/>
              <w:szCs w:val="30"/>
            </w:rPr>
            <w:t>18</w:t>
          </w:r>
          <w:r>
            <w:rPr>
              <w:rFonts w:hint="eastAsia" w:ascii="宋体" w:hAnsi="宋体" w:cs="宋体"/>
              <w:b/>
              <w:bCs/>
              <w:sz w:val="30"/>
              <w:szCs w:val="30"/>
            </w:rPr>
            <w:fldChar w:fldCharType="end"/>
          </w:r>
          <w:r>
            <w:rPr>
              <w:rFonts w:hint="eastAsia" w:ascii="宋体" w:hAnsi="宋体" w:cs="宋体"/>
              <w:b/>
              <w:bCs/>
              <w:sz w:val="30"/>
              <w:szCs w:val="30"/>
            </w:rPr>
            <w:fldChar w:fldCharType="end"/>
          </w:r>
        </w:p>
        <w:p>
          <w:pPr>
            <w:pStyle w:val="28"/>
            <w:tabs>
              <w:tab w:val="right" w:leader="dot" w:pos="9016"/>
            </w:tabs>
            <w:rPr>
              <w:rFonts w:ascii="宋体" w:hAnsi="宋体" w:cs="宋体"/>
              <w:b/>
              <w:bCs/>
              <w:sz w:val="30"/>
              <w:szCs w:val="30"/>
            </w:rPr>
          </w:pPr>
          <w:r>
            <w:fldChar w:fldCharType="begin"/>
          </w:r>
          <w:r>
            <w:instrText xml:space="preserve"> HYPERLINK \l "_Toc176529672" </w:instrText>
          </w:r>
          <w:r>
            <w:fldChar w:fldCharType="separate"/>
          </w:r>
          <w:r>
            <w:rPr>
              <w:rStyle w:val="52"/>
              <w:rFonts w:hint="eastAsia" w:ascii="宋体" w:hAnsi="宋体" w:cs="宋体"/>
              <w:b/>
              <w:bCs/>
              <w:color w:val="auto"/>
              <w:sz w:val="30"/>
              <w:szCs w:val="30"/>
            </w:rPr>
            <w:t>第六章 投标文件格式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_Toc176529672 \h </w:instrText>
          </w:r>
          <w:r>
            <w:rPr>
              <w:rFonts w:hint="eastAsia" w:ascii="宋体" w:hAnsi="宋体" w:cs="宋体"/>
              <w:b/>
              <w:bCs/>
              <w:sz w:val="30"/>
              <w:szCs w:val="30"/>
            </w:rPr>
            <w:fldChar w:fldCharType="separate"/>
          </w:r>
          <w:r>
            <w:rPr>
              <w:rFonts w:ascii="宋体" w:hAnsi="宋体" w:cs="宋体"/>
              <w:b/>
              <w:bCs/>
              <w:sz w:val="30"/>
              <w:szCs w:val="30"/>
            </w:rPr>
            <w:t>22</w:t>
          </w:r>
          <w:r>
            <w:rPr>
              <w:rFonts w:hint="eastAsia" w:ascii="宋体" w:hAnsi="宋体" w:cs="宋体"/>
              <w:b/>
              <w:bCs/>
              <w:sz w:val="30"/>
              <w:szCs w:val="30"/>
            </w:rPr>
            <w:fldChar w:fldCharType="end"/>
          </w:r>
          <w:r>
            <w:rPr>
              <w:rFonts w:hint="eastAsia" w:ascii="宋体" w:hAnsi="宋体" w:cs="宋体"/>
              <w:b/>
              <w:bCs/>
              <w:sz w:val="30"/>
              <w:szCs w:val="30"/>
            </w:rPr>
            <w:fldChar w:fldCharType="end"/>
          </w:r>
        </w:p>
        <w:p>
          <w:pPr>
            <w:rPr>
              <w:rFonts w:ascii="宋体" w:hAnsi="宋体" w:cs="宋体"/>
            </w:rPr>
          </w:pPr>
          <w:r>
            <w:rPr>
              <w:rFonts w:hint="eastAsia" w:ascii="宋体" w:hAnsi="宋体" w:cs="宋体"/>
              <w:sz w:val="28"/>
              <w:szCs w:val="28"/>
            </w:rPr>
            <w:fldChar w:fldCharType="end"/>
          </w:r>
        </w:p>
      </w:sdtContent>
    </w:sdt>
    <w:p>
      <w:pPr>
        <w:pStyle w:val="28"/>
        <w:tabs>
          <w:tab w:val="right" w:leader="dot" w:pos="8296"/>
        </w:tabs>
        <w:rPr>
          <w:rFonts w:ascii="宋体" w:hAnsi="宋体" w:cs="宋体"/>
          <w:b/>
          <w:bCs/>
          <w:sz w:val="28"/>
          <w:szCs w:val="28"/>
        </w:rPr>
      </w:pPr>
    </w:p>
    <w:p>
      <w:pPr>
        <w:pStyle w:val="28"/>
        <w:tabs>
          <w:tab w:val="right" w:leader="dot" w:pos="8306"/>
        </w:tabs>
        <w:spacing w:line="480" w:lineRule="auto"/>
        <w:rPr>
          <w:rFonts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p>
    <w:p>
      <w:pPr>
        <w:spacing w:line="480" w:lineRule="auto"/>
        <w:rPr>
          <w:rFonts w:ascii="宋体" w:hAnsi="宋体" w:cs="宋体"/>
          <w:sz w:val="28"/>
          <w:szCs w:val="28"/>
        </w:rPr>
      </w:pPr>
      <w:r>
        <w:rPr>
          <w:rFonts w:hint="eastAsia" w:ascii="宋体" w:hAnsi="宋体" w:cs="宋体"/>
          <w:b/>
          <w:sz w:val="28"/>
          <w:szCs w:val="28"/>
        </w:rPr>
        <w:fldChar w:fldCharType="end"/>
      </w:r>
    </w:p>
    <w:p>
      <w:pPr>
        <w:widowControl/>
        <w:shd w:val="clear" w:color="auto" w:fill="FFFFFF"/>
        <w:spacing w:line="360" w:lineRule="auto"/>
        <w:jc w:val="left"/>
        <w:rPr>
          <w:rFonts w:ascii="宋体" w:hAnsi="宋体" w:cs="宋体"/>
          <w:b/>
          <w:sz w:val="36"/>
          <w:szCs w:val="36"/>
        </w:rPr>
      </w:pPr>
    </w:p>
    <w:p>
      <w:pPr>
        <w:pStyle w:val="203"/>
        <w:rPr>
          <w:rFonts w:ascii="宋体" w:hAnsi="宋体" w:cs="宋体"/>
        </w:rPr>
      </w:pPr>
      <w:r>
        <w:rPr>
          <w:rFonts w:hint="eastAsia" w:ascii="宋体" w:hAnsi="宋体" w:cs="宋体"/>
          <w:sz w:val="36"/>
          <w:szCs w:val="36"/>
          <w:shd w:val="clear" w:color="auto" w:fill="FFFFFF"/>
        </w:rPr>
        <w:br w:type="page" w:clear="all"/>
      </w:r>
      <w:bookmarkStart w:id="0" w:name="_Toc481057143"/>
      <w:bookmarkStart w:id="1" w:name="_Toc29007"/>
      <w:bookmarkStart w:id="2" w:name="_Hlk43897905"/>
      <w:r>
        <w:rPr>
          <w:rFonts w:hint="eastAsia" w:ascii="宋体" w:hAnsi="宋体" w:cs="宋体"/>
        </w:rPr>
        <w:t xml:space="preserve"> </w:t>
      </w:r>
      <w:bookmarkStart w:id="3" w:name="_Toc176529667"/>
      <w:r>
        <w:rPr>
          <w:rFonts w:hint="eastAsia" w:ascii="宋体" w:hAnsi="宋体" w:cs="宋体"/>
        </w:rPr>
        <w:t>招标公告</w:t>
      </w:r>
      <w:bookmarkEnd w:id="0"/>
      <w:bookmarkEnd w:id="1"/>
      <w:bookmarkEnd w:id="3"/>
    </w:p>
    <w:p>
      <w:pPr>
        <w:widowControl/>
        <w:pBdr>
          <w:top w:val="single" w:color="auto" w:sz="4" w:space="1"/>
          <w:left w:val="single" w:color="auto" w:sz="4" w:space="4"/>
          <w:bottom w:val="single" w:color="auto" w:sz="4" w:space="1"/>
          <w:right w:val="single" w:color="auto" w:sz="4" w:space="4"/>
        </w:pBdr>
        <w:spacing w:line="360" w:lineRule="auto"/>
        <w:ind w:firstLine="422"/>
        <w:rPr>
          <w:rFonts w:ascii="宋体" w:hAnsi="宋体" w:cs="宋体"/>
          <w:b/>
          <w:bCs/>
        </w:rPr>
      </w:pPr>
      <w:r>
        <w:rPr>
          <w:rFonts w:hint="eastAsia" w:ascii="宋体" w:hAnsi="宋体" w:cs="宋体"/>
          <w:b/>
          <w:bCs/>
        </w:rPr>
        <w:t>项目概况</w:t>
      </w:r>
    </w:p>
    <w:p>
      <w:pPr>
        <w:widowControl/>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rPr>
      </w:pPr>
      <w:r>
        <w:rPr>
          <w:rFonts w:hint="eastAsia" w:ascii="宋体" w:hAnsi="宋体" w:cs="宋体"/>
        </w:rPr>
        <w:t>江苏经贸职业技术学院医疗卫生保健服务委托JSZC-320000-JSYC-G2026-0015招标项目的潜在投标人应在</w:t>
      </w:r>
      <w:r>
        <w:rPr>
          <w:rFonts w:hint="eastAsia" w:ascii="宋体" w:hAnsi="宋体" w:cs="宋体"/>
          <w:szCs w:val="21"/>
        </w:rPr>
        <w:t>江苏政府采购网“苏采云”系统</w:t>
      </w:r>
      <w:r>
        <w:rPr>
          <w:rFonts w:hint="eastAsia" w:ascii="宋体" w:hAnsi="宋体" w:cs="宋体"/>
        </w:rPr>
        <w:t>获取采购文件，并于2026年</w:t>
      </w:r>
      <w:r>
        <w:rPr>
          <w:rFonts w:hint="eastAsia" w:ascii="宋体" w:hAnsi="宋体" w:cs="宋体"/>
          <w:lang w:val="en-US" w:eastAsia="zh-CN"/>
        </w:rPr>
        <w:t>7</w:t>
      </w:r>
      <w:r>
        <w:rPr>
          <w:rFonts w:hint="eastAsia" w:ascii="宋体" w:hAnsi="宋体" w:cs="宋体"/>
        </w:rPr>
        <w:t>月</w:t>
      </w:r>
      <w:r>
        <w:rPr>
          <w:rFonts w:hint="eastAsia" w:ascii="宋体" w:hAnsi="宋体" w:cs="宋体"/>
          <w:lang w:val="en-US" w:eastAsia="zh-CN"/>
        </w:rPr>
        <w:t>30</w:t>
      </w:r>
      <w:r>
        <w:rPr>
          <w:rFonts w:hint="eastAsia" w:ascii="宋体" w:hAnsi="宋体" w:cs="宋体"/>
        </w:rPr>
        <w:t>日</w:t>
      </w:r>
      <w:r>
        <w:rPr>
          <w:rFonts w:hint="eastAsia" w:ascii="宋体" w:hAnsi="宋体" w:cs="宋体"/>
          <w:lang w:val="en-US" w:eastAsia="zh-CN"/>
        </w:rPr>
        <w:t>14</w:t>
      </w:r>
      <w:r>
        <w:rPr>
          <w:rFonts w:hint="eastAsia" w:ascii="宋体" w:hAnsi="宋体" w:cs="宋体"/>
        </w:rPr>
        <w:t>:30（北京时间）前提交投标文件。</w:t>
      </w:r>
    </w:p>
    <w:p>
      <w:pPr>
        <w:widowControl/>
        <w:shd w:val="clear" w:color="auto" w:fill="FFFFFF"/>
        <w:spacing w:line="360" w:lineRule="auto"/>
        <w:ind w:firstLine="422"/>
        <w:jc w:val="left"/>
        <w:rPr>
          <w:rFonts w:ascii="宋体" w:hAnsi="宋体" w:cs="宋体"/>
          <w:b/>
          <w:szCs w:val="21"/>
        </w:rPr>
      </w:pPr>
      <w:r>
        <w:rPr>
          <w:rFonts w:hint="eastAsia" w:ascii="宋体" w:hAnsi="宋体" w:cs="宋体"/>
          <w:b/>
          <w:szCs w:val="21"/>
        </w:rPr>
        <w:t xml:space="preserve">一、项目基本情况   </w:t>
      </w:r>
    </w:p>
    <w:p>
      <w:pPr>
        <w:widowControl/>
        <w:shd w:val="clear" w:color="auto" w:fill="FFFFFF"/>
        <w:spacing w:line="360" w:lineRule="auto"/>
        <w:ind w:firstLine="420"/>
        <w:jc w:val="left"/>
        <w:rPr>
          <w:rFonts w:ascii="宋体" w:hAnsi="宋体" w:cs="宋体"/>
          <w:bCs/>
          <w:szCs w:val="21"/>
        </w:rPr>
      </w:pPr>
      <w:r>
        <w:rPr>
          <w:rFonts w:hint="eastAsia" w:ascii="宋体" w:hAnsi="宋体" w:cs="宋体"/>
          <w:bCs/>
          <w:szCs w:val="21"/>
        </w:rPr>
        <w:t>项目编号：JSZC-320000-JSYC-G2026-0015</w:t>
      </w:r>
    </w:p>
    <w:p>
      <w:pPr>
        <w:widowControl/>
        <w:shd w:val="clear" w:color="auto" w:fill="FFFFFF"/>
        <w:spacing w:line="360" w:lineRule="auto"/>
        <w:ind w:firstLine="420"/>
        <w:jc w:val="left"/>
        <w:rPr>
          <w:rFonts w:ascii="宋体" w:hAnsi="宋体" w:cs="宋体"/>
          <w:bCs/>
          <w:szCs w:val="21"/>
        </w:rPr>
      </w:pPr>
      <w:r>
        <w:rPr>
          <w:rFonts w:hint="eastAsia" w:ascii="宋体" w:hAnsi="宋体" w:cs="宋体"/>
          <w:bCs/>
          <w:szCs w:val="21"/>
        </w:rPr>
        <w:t>项目名称：江苏经贸职业技术学院医疗卫生保健服务委托</w:t>
      </w:r>
    </w:p>
    <w:p>
      <w:pPr>
        <w:widowControl/>
        <w:shd w:val="clear" w:color="auto" w:fill="FFFFFF"/>
        <w:spacing w:line="360" w:lineRule="auto"/>
        <w:ind w:firstLine="420" w:firstLineChars="200"/>
        <w:jc w:val="left"/>
        <w:rPr>
          <w:rFonts w:ascii="宋体" w:hAnsi="宋体" w:cs="宋体"/>
          <w:bCs/>
          <w:szCs w:val="21"/>
        </w:rPr>
      </w:pPr>
      <w:r>
        <w:rPr>
          <w:rFonts w:hint="eastAsia" w:ascii="宋体" w:hAnsi="宋体" w:cs="宋体"/>
          <w:bCs/>
          <w:szCs w:val="21"/>
        </w:rPr>
        <w:t>预算金额：120.288万元（40万/年，含招标代理费0.288万元）</w:t>
      </w:r>
    </w:p>
    <w:p>
      <w:pPr>
        <w:widowControl/>
        <w:shd w:val="clear" w:color="auto" w:fill="FFFFFF"/>
        <w:spacing w:line="360" w:lineRule="auto"/>
        <w:ind w:firstLine="420" w:firstLineChars="200"/>
        <w:jc w:val="left"/>
        <w:rPr>
          <w:rFonts w:ascii="宋体" w:hAnsi="宋体" w:cs="宋体"/>
          <w:bCs/>
          <w:szCs w:val="21"/>
        </w:rPr>
      </w:pPr>
      <w:bookmarkStart w:id="4" w:name="_Hlk175666274"/>
      <w:r>
        <w:rPr>
          <w:rFonts w:hint="eastAsia" w:ascii="宋体" w:hAnsi="宋体" w:cs="宋体"/>
          <w:bCs/>
          <w:szCs w:val="21"/>
        </w:rPr>
        <w:t>最高限价</w:t>
      </w:r>
      <w:bookmarkEnd w:id="4"/>
      <w:r>
        <w:rPr>
          <w:rFonts w:hint="eastAsia" w:ascii="宋体" w:hAnsi="宋体" w:cs="宋体"/>
          <w:bCs/>
          <w:szCs w:val="21"/>
        </w:rPr>
        <w:t>：120.288万元（40万/年，含招标代理费0.288万元）</w:t>
      </w:r>
    </w:p>
    <w:p>
      <w:pPr>
        <w:widowControl/>
        <w:shd w:val="clear" w:color="auto" w:fill="FFFFFF"/>
        <w:spacing w:line="360" w:lineRule="auto"/>
        <w:ind w:firstLine="420" w:firstLineChars="20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采购需求：</w:t>
      </w:r>
      <w:r>
        <w:rPr>
          <w:rFonts w:hint="eastAsia"/>
        </w:rPr>
        <w:t>拟招标一家医疗团队在</w:t>
      </w:r>
      <w:r>
        <w:t>江苏经贸职业技术学院江宁校区医务室服务，配备持证医护人员、合规医疗设备并承担相关人员薪资福利，落实 24 小时全天候规范医疗服务、零差价售药、传染病防控、健康宣教、大型活动医疗保障、新生体检等全部医疗卫生工作，承担全部医疗相关责任且不得转包服务，同时依规使用校园水电并承担超额费用。具体内容及人员配备详见招标文件采购要求。</w:t>
      </w:r>
    </w:p>
    <w:p>
      <w:pPr>
        <w:widowControl/>
        <w:shd w:val="clear" w:color="auto" w:fill="FFFFFF"/>
        <w:spacing w:line="360" w:lineRule="auto"/>
        <w:ind w:firstLine="420"/>
        <w:jc w:val="left"/>
        <w:rPr>
          <w:rFonts w:ascii="宋体" w:hAnsi="宋体" w:cs="宋体"/>
          <w:bCs/>
          <w:szCs w:val="21"/>
        </w:rPr>
      </w:pPr>
      <w:r>
        <w:rPr>
          <w:rFonts w:hint="eastAsia" w:ascii="宋体" w:hAnsi="宋体" w:cs="宋体"/>
          <w:bCs/>
          <w:szCs w:val="21"/>
        </w:rPr>
        <w:t>合同履行期限：</w:t>
      </w:r>
      <w:r>
        <w:rPr>
          <w:rFonts w:hint="eastAsia" w:cs="宋体" w:asciiTheme="minorEastAsia" w:hAnsiTheme="minorEastAsia" w:eastAsiaTheme="minorEastAsia"/>
          <w:bCs/>
          <w:szCs w:val="21"/>
        </w:rPr>
        <w:t>服</w:t>
      </w:r>
      <w:r>
        <w:rPr>
          <w:rFonts w:hint="eastAsia" w:ascii="宋体" w:hAnsi="宋体" w:cs="宋体"/>
          <w:bCs/>
          <w:szCs w:val="21"/>
        </w:rPr>
        <w:t>务期三年。</w:t>
      </w:r>
      <w:r>
        <w:rPr>
          <w:rFonts w:hint="eastAsia"/>
        </w:rPr>
        <w:t>（合同一年一签，根据项目服务对象满意度测评和学校《运维保障服务项目分期考核表》决定是否续签）</w:t>
      </w:r>
    </w:p>
    <w:p>
      <w:pPr>
        <w:widowControl/>
        <w:shd w:val="clear" w:color="auto" w:fill="FFFFFF"/>
        <w:spacing w:line="360" w:lineRule="auto"/>
        <w:ind w:firstLine="420"/>
        <w:jc w:val="left"/>
        <w:rPr>
          <w:rFonts w:ascii="宋体" w:hAnsi="宋体" w:cs="宋体"/>
          <w:bCs/>
          <w:szCs w:val="21"/>
        </w:rPr>
      </w:pPr>
      <w:bookmarkStart w:id="5" w:name="_Hlk128055931"/>
      <w:bookmarkStart w:id="6" w:name="_Hlk77845455"/>
      <w:r>
        <w:rPr>
          <w:rFonts w:hint="eastAsia" w:ascii="宋体" w:hAnsi="宋体" w:cs="宋体"/>
          <w:bCs/>
          <w:szCs w:val="21"/>
        </w:rPr>
        <w:t>本项目</w:t>
      </w:r>
      <w:bookmarkStart w:id="7" w:name="_Hlk84582886"/>
      <w:r>
        <w:rPr>
          <w:rFonts w:hint="eastAsia" w:ascii="宋体" w:hAnsi="宋体" w:cs="宋体"/>
          <w:bCs/>
          <w:szCs w:val="21"/>
        </w:rPr>
        <w:t>（是/否）接受</w:t>
      </w:r>
      <w:bookmarkEnd w:id="7"/>
      <w:r>
        <w:rPr>
          <w:rFonts w:hint="eastAsia" w:ascii="宋体" w:hAnsi="宋体" w:cs="宋体"/>
          <w:bCs/>
          <w:szCs w:val="21"/>
        </w:rPr>
        <w:t>联合体投标：否</w:t>
      </w:r>
      <w:bookmarkEnd w:id="5"/>
      <w:bookmarkEnd w:id="6"/>
    </w:p>
    <w:p>
      <w:pPr>
        <w:widowControl/>
        <w:shd w:val="clear" w:color="auto" w:fill="FFFFFF"/>
        <w:spacing w:line="360" w:lineRule="auto"/>
        <w:ind w:firstLine="422"/>
        <w:jc w:val="left"/>
        <w:rPr>
          <w:rFonts w:ascii="宋体" w:hAnsi="宋体" w:cs="宋体"/>
          <w:b/>
          <w:szCs w:val="21"/>
        </w:rPr>
      </w:pPr>
      <w:r>
        <w:rPr>
          <w:rFonts w:hint="eastAsia" w:ascii="宋体" w:hAnsi="宋体" w:cs="宋体"/>
          <w:b/>
          <w:szCs w:val="21"/>
        </w:rPr>
        <w:t>二、申请人的资格要求</w:t>
      </w:r>
    </w:p>
    <w:p>
      <w:pPr>
        <w:widowControl/>
        <w:shd w:val="clear" w:color="auto" w:fill="FFFFFF"/>
        <w:spacing w:line="360" w:lineRule="auto"/>
        <w:ind w:firstLine="420"/>
        <w:jc w:val="left"/>
        <w:rPr>
          <w:rFonts w:ascii="宋体" w:hAnsi="宋体" w:cs="宋体"/>
          <w:bCs/>
          <w:szCs w:val="21"/>
        </w:rPr>
      </w:pPr>
      <w:r>
        <w:rPr>
          <w:rFonts w:hint="eastAsia" w:ascii="宋体" w:hAnsi="宋体" w:cs="宋体"/>
          <w:bCs/>
          <w:szCs w:val="21"/>
        </w:rPr>
        <w:t>（一）满足《中华人民共和国政府采购法》第二十二条规定：</w:t>
      </w:r>
    </w:p>
    <w:p>
      <w:pPr>
        <w:spacing w:line="360" w:lineRule="auto"/>
        <w:ind w:firstLine="420"/>
        <w:jc w:val="left"/>
        <w:rPr>
          <w:rFonts w:ascii="宋体" w:hAnsi="宋体" w:cs="宋体"/>
          <w:bCs/>
          <w:szCs w:val="21"/>
        </w:rPr>
      </w:pPr>
      <w:r>
        <w:rPr>
          <w:rFonts w:hint="eastAsia" w:ascii="宋体" w:hAnsi="宋体" w:cs="宋体"/>
          <w:bCs/>
          <w:szCs w:val="21"/>
        </w:rPr>
        <w:t>1.具有独立承担民事责任的能力（提供法人或其他组织的营业执照等证明文件，自然人的身份证明）；</w:t>
      </w:r>
    </w:p>
    <w:p>
      <w:pPr>
        <w:spacing w:line="360" w:lineRule="auto"/>
        <w:ind w:firstLine="420"/>
        <w:jc w:val="left"/>
        <w:rPr>
          <w:rFonts w:ascii="宋体" w:hAnsi="宋体" w:cs="宋体"/>
          <w:bCs/>
          <w:szCs w:val="21"/>
        </w:rPr>
      </w:pPr>
      <w:r>
        <w:rPr>
          <w:rFonts w:hint="eastAsia" w:ascii="宋体" w:hAnsi="宋体" w:cs="宋体"/>
          <w:bCs/>
          <w:szCs w:val="21"/>
        </w:rPr>
        <w:t>2.具有良好的商业信誉和健全的财务会计制度（提供参加本次政府采购活动前的会计报表或审计报告，或银行出具的投标截止时间前六个月内银行出具的资信证明）；</w:t>
      </w:r>
    </w:p>
    <w:p>
      <w:pPr>
        <w:spacing w:line="360" w:lineRule="auto"/>
        <w:ind w:firstLine="420"/>
        <w:jc w:val="left"/>
        <w:rPr>
          <w:rFonts w:ascii="宋体" w:hAnsi="宋体" w:cs="宋体"/>
          <w:bCs/>
          <w:szCs w:val="21"/>
        </w:rPr>
      </w:pPr>
      <w:r>
        <w:rPr>
          <w:rFonts w:hint="eastAsia" w:ascii="宋体" w:hAnsi="宋体" w:cs="宋体"/>
          <w:bCs/>
          <w:szCs w:val="21"/>
        </w:rPr>
        <w:t>3.具有履行合同所必需的设备和专业技术能力（根据项目需求提供履行合同所必需的设备和专业技术能力的声明</w:t>
      </w:r>
      <w:bookmarkStart w:id="8" w:name="_Hlk128041996"/>
      <w:r>
        <w:rPr>
          <w:rFonts w:hint="eastAsia" w:ascii="宋体" w:hAnsi="宋体" w:cs="宋体"/>
          <w:bCs/>
          <w:szCs w:val="21"/>
        </w:rPr>
        <w:t>或证明材料</w:t>
      </w:r>
      <w:bookmarkEnd w:id="8"/>
      <w:r>
        <w:rPr>
          <w:rFonts w:hint="eastAsia" w:ascii="宋体" w:hAnsi="宋体" w:cs="宋体"/>
          <w:bCs/>
          <w:szCs w:val="21"/>
        </w:rPr>
        <w:t>）；</w:t>
      </w:r>
    </w:p>
    <w:p>
      <w:pPr>
        <w:spacing w:line="360" w:lineRule="auto"/>
        <w:ind w:firstLine="420"/>
        <w:jc w:val="left"/>
        <w:rPr>
          <w:rFonts w:ascii="宋体" w:hAnsi="宋体" w:cs="宋体"/>
          <w:bCs/>
          <w:szCs w:val="21"/>
        </w:rPr>
      </w:pPr>
      <w:r>
        <w:rPr>
          <w:rFonts w:hint="eastAsia" w:ascii="宋体" w:hAnsi="宋体" w:cs="宋体"/>
          <w:bCs/>
          <w:szCs w:val="21"/>
        </w:rPr>
        <w:t>4.</w:t>
      </w:r>
      <w:bookmarkStart w:id="9" w:name="_Hlk169006514"/>
      <w:r>
        <w:rPr>
          <w:rFonts w:hint="eastAsia" w:ascii="宋体" w:hAnsi="宋体" w:cs="宋体"/>
          <w:bCs/>
          <w:szCs w:val="21"/>
        </w:rPr>
        <w:t>具有依法缴纳税收和社会保障资金的良好记录</w:t>
      </w:r>
      <w:bookmarkStart w:id="10" w:name="_Hlk168994408"/>
      <w:r>
        <w:rPr>
          <w:rFonts w:hint="eastAsia" w:ascii="宋体" w:hAnsi="宋体" w:cs="宋体"/>
          <w:bCs/>
          <w:szCs w:val="21"/>
        </w:rPr>
        <w:t>（提供参加本次政府采购活动前一年内至少一个月缴纳社会保险的凭据及缴纳税收凭据）</w:t>
      </w:r>
      <w:bookmarkEnd w:id="10"/>
      <w:r>
        <w:rPr>
          <w:rFonts w:hint="eastAsia" w:ascii="宋体" w:hAnsi="宋体" w:cs="宋体"/>
          <w:bCs/>
          <w:szCs w:val="21"/>
        </w:rPr>
        <w:t>；</w:t>
      </w:r>
      <w:bookmarkEnd w:id="9"/>
    </w:p>
    <w:p>
      <w:pPr>
        <w:spacing w:line="360" w:lineRule="auto"/>
        <w:ind w:firstLine="420"/>
        <w:jc w:val="left"/>
        <w:rPr>
          <w:rFonts w:ascii="宋体" w:hAnsi="宋体" w:cs="宋体"/>
          <w:bCs/>
          <w:szCs w:val="21"/>
        </w:rPr>
      </w:pPr>
      <w:r>
        <w:rPr>
          <w:rFonts w:hint="eastAsia" w:ascii="宋体" w:hAnsi="宋体" w:cs="宋体"/>
          <w:bCs/>
          <w:szCs w:val="21"/>
        </w:rPr>
        <w:t>5.参加政府采购活动前三年内，在经营活动中没有重大违法记录（提供承诺书）；</w:t>
      </w:r>
    </w:p>
    <w:p>
      <w:pPr>
        <w:spacing w:line="360" w:lineRule="auto"/>
        <w:ind w:firstLine="420"/>
        <w:jc w:val="left"/>
        <w:rPr>
          <w:rFonts w:ascii="宋体" w:hAnsi="宋体" w:cs="宋体"/>
          <w:bCs/>
          <w:szCs w:val="21"/>
        </w:rPr>
      </w:pPr>
      <w:r>
        <w:rPr>
          <w:rFonts w:hint="eastAsia" w:ascii="宋体" w:hAnsi="宋体" w:cs="宋体"/>
          <w:bCs/>
          <w:szCs w:val="21"/>
        </w:rPr>
        <w:t>6.法律、行政法规规定的其他条件：无。</w:t>
      </w:r>
    </w:p>
    <w:p>
      <w:pPr>
        <w:spacing w:line="360" w:lineRule="auto"/>
        <w:ind w:firstLine="420"/>
        <w:rPr>
          <w:rFonts w:hint="eastAsia" w:ascii="宋体" w:hAnsi="宋体" w:cs="宋体"/>
          <w:bCs/>
          <w:szCs w:val="21"/>
        </w:rPr>
      </w:pPr>
      <w:r>
        <w:rPr>
          <w:rFonts w:hint="eastAsia" w:ascii="宋体" w:hAnsi="宋体" w:cs="宋体"/>
          <w:bCs/>
          <w:szCs w:val="21"/>
        </w:rPr>
        <w:t>（二）落实政府采购政策需满足的资格要求：（如属于专门面向中小企业采购的项目，供应商应为中小微企业、监狱企业、残疾人福利性单位）本项目按照采用以下第（</w:t>
      </w:r>
      <w:r>
        <w:rPr>
          <w:rFonts w:hint="eastAsia" w:ascii="宋体" w:hAnsi="宋体" w:cs="宋体"/>
          <w:bCs/>
          <w:szCs w:val="21"/>
          <w:lang w:val="en-US" w:eastAsia="zh-CN"/>
        </w:rPr>
        <w:t>4</w:t>
      </w:r>
      <w:r>
        <w:rPr>
          <w:rFonts w:hint="eastAsia" w:ascii="宋体" w:hAnsi="宋体" w:cs="宋体"/>
          <w:bCs/>
          <w:szCs w:val="21"/>
        </w:rPr>
        <w:t>）种方式落实政府采购促进中小企业发展的要求：</w:t>
      </w:r>
    </w:p>
    <w:p>
      <w:pPr>
        <w:spacing w:line="360" w:lineRule="auto"/>
        <w:ind w:firstLine="420"/>
        <w:rPr>
          <w:rFonts w:hint="eastAsia" w:ascii="宋体" w:hAnsi="宋体" w:cs="宋体"/>
          <w:bCs/>
          <w:szCs w:val="21"/>
        </w:rPr>
      </w:pPr>
      <w:r>
        <w:rPr>
          <w:rFonts w:hint="eastAsia" w:ascii="宋体" w:hAnsi="宋体" w:cs="宋体"/>
          <w:bCs/>
          <w:szCs w:val="21"/>
        </w:rPr>
        <w:t>（1）本项目整体专门面向中小企业采购。</w:t>
      </w:r>
    </w:p>
    <w:p>
      <w:pPr>
        <w:spacing w:line="360" w:lineRule="auto"/>
        <w:ind w:firstLine="420"/>
        <w:rPr>
          <w:rFonts w:hint="eastAsia" w:ascii="宋体" w:hAnsi="宋体" w:cs="宋体"/>
          <w:bCs/>
          <w:szCs w:val="21"/>
        </w:rPr>
      </w:pPr>
      <w:r>
        <w:rPr>
          <w:rFonts w:hint="eastAsia" w:ascii="宋体" w:hAnsi="宋体" w:cs="宋体"/>
          <w:bCs/>
          <w:szCs w:val="21"/>
        </w:rPr>
        <w:t>（2）本项目整体专门面向小微企业采购。</w:t>
      </w:r>
    </w:p>
    <w:p>
      <w:pPr>
        <w:spacing w:line="360" w:lineRule="auto"/>
        <w:ind w:firstLine="420"/>
        <w:rPr>
          <w:rFonts w:hint="eastAsia" w:ascii="宋体" w:hAnsi="宋体" w:cs="宋体"/>
          <w:bCs/>
          <w:szCs w:val="21"/>
        </w:rPr>
      </w:pPr>
      <w:r>
        <w:rPr>
          <w:rFonts w:hint="eastAsia" w:ascii="宋体" w:hAnsi="宋体" w:cs="宋体"/>
          <w:bCs/>
          <w:szCs w:val="21"/>
        </w:rPr>
        <w:t>（3）本项目通过以下第（）种方式预留部分采购份额采购中小企业货物：</w:t>
      </w:r>
    </w:p>
    <w:p>
      <w:pPr>
        <w:spacing w:line="360" w:lineRule="auto"/>
        <w:ind w:firstLine="420"/>
        <w:rPr>
          <w:rFonts w:hint="eastAsia" w:ascii="宋体" w:hAnsi="宋体" w:cs="宋体"/>
          <w:bCs/>
          <w:szCs w:val="21"/>
        </w:rPr>
      </w:pPr>
      <w:r>
        <w:rPr>
          <w:rFonts w:hint="eastAsia" w:ascii="宋体" w:hAnsi="宋体" w:cs="宋体"/>
          <w:bCs/>
          <w:szCs w:val="21"/>
        </w:rPr>
        <w:t>①本项目要求供应商以联合体形式参加，中小企业合同金额应当达到的比例为 / %。</w:t>
      </w:r>
    </w:p>
    <w:p>
      <w:pPr>
        <w:spacing w:line="360" w:lineRule="auto"/>
        <w:ind w:firstLine="420"/>
        <w:rPr>
          <w:rFonts w:hint="eastAsia" w:ascii="宋体" w:hAnsi="宋体" w:cs="宋体"/>
          <w:bCs/>
          <w:szCs w:val="21"/>
        </w:rPr>
      </w:pPr>
      <w:r>
        <w:rPr>
          <w:rFonts w:hint="eastAsia" w:ascii="宋体" w:hAnsi="宋体" w:cs="宋体"/>
          <w:bCs/>
          <w:szCs w:val="21"/>
        </w:rPr>
        <w:t>②本项目要求供应商进行合同分包，中小企业合同金额应当达到的比例为 / %。</w:t>
      </w:r>
    </w:p>
    <w:p>
      <w:pPr>
        <w:spacing w:line="360" w:lineRule="auto"/>
        <w:ind w:firstLine="420"/>
        <w:rPr>
          <w:rFonts w:ascii="宋体" w:hAnsi="宋体" w:cs="宋体"/>
          <w:bCs/>
          <w:szCs w:val="21"/>
        </w:rPr>
      </w:pPr>
      <w:r>
        <w:rPr>
          <w:rFonts w:hint="eastAsia" w:ascii="宋体" w:hAnsi="宋体" w:cs="宋体"/>
          <w:bCs/>
          <w:szCs w:val="21"/>
        </w:rPr>
        <w:t>（4）本项目为非预留份额的采购项目或采购包，执行价格扣除优惠政策，具体详见第</w:t>
      </w:r>
      <w:r>
        <w:rPr>
          <w:rFonts w:hint="eastAsia" w:ascii="宋体" w:hAnsi="宋体" w:cs="宋体"/>
          <w:bCs/>
          <w:szCs w:val="21"/>
          <w:lang w:val="en-US" w:eastAsia="zh-CN"/>
        </w:rPr>
        <w:t>二</w:t>
      </w:r>
      <w:r>
        <w:rPr>
          <w:rFonts w:hint="eastAsia" w:ascii="宋体" w:hAnsi="宋体" w:cs="宋体"/>
          <w:bCs/>
          <w:szCs w:val="21"/>
        </w:rPr>
        <w:t>章。</w:t>
      </w:r>
    </w:p>
    <w:p>
      <w:pPr>
        <w:widowControl/>
        <w:shd w:val="clear" w:color="auto" w:fill="FFFFFF"/>
        <w:spacing w:line="360" w:lineRule="auto"/>
        <w:ind w:firstLine="420"/>
        <w:jc w:val="left"/>
        <w:rPr>
          <w:rFonts w:hint="default" w:ascii="宋体" w:hAnsi="宋体" w:eastAsia="宋体" w:cs="宋体"/>
          <w:bCs/>
          <w:szCs w:val="21"/>
          <w:lang w:val="en-US" w:eastAsia="zh-CN"/>
        </w:rPr>
      </w:pPr>
      <w:bookmarkStart w:id="11" w:name="_Hlk67996638"/>
      <w:bookmarkStart w:id="12" w:name="_Hlk67648547"/>
      <w:r>
        <w:rPr>
          <w:rFonts w:hint="eastAsia" w:ascii="宋体" w:hAnsi="宋体" w:cs="宋体"/>
          <w:bCs/>
          <w:szCs w:val="21"/>
        </w:rPr>
        <w:t>（三）本项目特定资格要求</w:t>
      </w:r>
      <w:bookmarkEnd w:id="11"/>
      <w:r>
        <w:rPr>
          <w:rFonts w:hint="eastAsia" w:ascii="宋体" w:hAnsi="宋体" w:cs="宋体"/>
          <w:bCs/>
          <w:szCs w:val="21"/>
        </w:rPr>
        <w:t>：</w:t>
      </w:r>
      <w:bookmarkEnd w:id="12"/>
      <w:r>
        <w:rPr>
          <w:rFonts w:hint="eastAsia" w:ascii="宋体" w:hAnsi="宋体" w:cs="宋体"/>
          <w:bCs/>
          <w:szCs w:val="21"/>
          <w:lang w:eastAsia="zh-CN"/>
        </w:rPr>
        <w:t>（</w:t>
      </w:r>
      <w:r>
        <w:rPr>
          <w:rFonts w:hint="eastAsia" w:ascii="宋体" w:hAnsi="宋体" w:cs="宋体"/>
          <w:bCs/>
          <w:szCs w:val="21"/>
          <w:lang w:val="en-US" w:eastAsia="zh-CN"/>
        </w:rPr>
        <w:t>1</w:t>
      </w:r>
      <w:r>
        <w:rPr>
          <w:rFonts w:hint="eastAsia" w:ascii="宋体" w:hAnsi="宋体" w:cs="宋体"/>
          <w:bCs/>
          <w:szCs w:val="21"/>
          <w:lang w:eastAsia="zh-CN"/>
        </w:rPr>
        <w:t>）</w:t>
      </w:r>
      <w:r>
        <w:rPr>
          <w:rFonts w:hint="eastAsia" w:ascii="宋体" w:hAnsi="宋体" w:cs="宋体"/>
          <w:bCs/>
          <w:szCs w:val="21"/>
        </w:rPr>
        <w:t>供应商具有有效期内的《医疗机构执业许可证》(提供许可证复印件加盖公章扫描件)</w:t>
      </w:r>
      <w:r>
        <w:rPr>
          <w:rFonts w:hint="eastAsia" w:ascii="宋体" w:hAnsi="宋体" w:cs="宋体"/>
          <w:bCs/>
          <w:szCs w:val="21"/>
          <w:lang w:val="en-US" w:eastAsia="zh-CN"/>
        </w:rPr>
        <w:t>;</w:t>
      </w:r>
      <w:bookmarkStart w:id="165" w:name="_GoBack"/>
      <w:bookmarkEnd w:id="165"/>
      <w:r>
        <w:rPr>
          <w:rFonts w:hint="eastAsia" w:ascii="宋体" w:hAnsi="宋体" w:cs="宋体"/>
          <w:bCs/>
          <w:szCs w:val="21"/>
          <w:lang w:val="en-US" w:eastAsia="zh-CN"/>
        </w:rPr>
        <w:t>(2)具有一级医院及以上资格，提供营业执照及一级医院证明复印件并加盖CA公章。</w:t>
      </w:r>
    </w:p>
    <w:p>
      <w:pPr>
        <w:widowControl/>
        <w:shd w:val="clear" w:color="auto" w:fill="FFFFFF"/>
        <w:spacing w:line="360" w:lineRule="auto"/>
        <w:ind w:firstLine="422"/>
        <w:jc w:val="left"/>
        <w:rPr>
          <w:rFonts w:ascii="宋体" w:hAnsi="宋体" w:cs="宋体"/>
          <w:b/>
          <w:szCs w:val="21"/>
        </w:rPr>
      </w:pPr>
      <w:bookmarkStart w:id="13" w:name="_Hlk77845490"/>
      <w:bookmarkStart w:id="14" w:name="_Hlk77846375"/>
      <w:r>
        <w:rPr>
          <w:rFonts w:hint="eastAsia" w:ascii="宋体" w:hAnsi="宋体" w:cs="宋体"/>
          <w:b/>
          <w:szCs w:val="21"/>
        </w:rPr>
        <w:t>三、获取采购文件</w:t>
      </w:r>
    </w:p>
    <w:p>
      <w:pPr>
        <w:widowControl/>
        <w:shd w:val="clear" w:color="auto" w:fill="FFFFFF"/>
        <w:spacing w:line="360" w:lineRule="auto"/>
        <w:ind w:firstLine="420"/>
        <w:jc w:val="left"/>
        <w:rPr>
          <w:rFonts w:ascii="宋体" w:hAnsi="宋体" w:cs="宋体"/>
          <w:szCs w:val="21"/>
        </w:rPr>
      </w:pPr>
      <w:bookmarkStart w:id="15" w:name="_Hlk165968429"/>
      <w:r>
        <w:rPr>
          <w:rFonts w:hint="eastAsia" w:ascii="宋体" w:hAnsi="宋体" w:cs="宋体"/>
          <w:szCs w:val="21"/>
        </w:rPr>
        <w:t>时间：自采购文件公告发布之日起5个工作日</w:t>
      </w:r>
      <w:bookmarkEnd w:id="13"/>
    </w:p>
    <w:p>
      <w:pPr>
        <w:widowControl/>
        <w:shd w:val="clear" w:color="auto" w:fill="FFFFFF"/>
        <w:spacing w:line="360" w:lineRule="auto"/>
        <w:ind w:firstLine="420"/>
        <w:jc w:val="left"/>
        <w:rPr>
          <w:rFonts w:ascii="宋体" w:hAnsi="宋体" w:cs="宋体"/>
          <w:szCs w:val="21"/>
        </w:rPr>
      </w:pPr>
      <w:bookmarkStart w:id="16" w:name="_Hlk77845475"/>
      <w:r>
        <w:rPr>
          <w:rFonts w:hint="eastAsia" w:ascii="宋体" w:hAnsi="宋体" w:cs="宋体"/>
          <w:szCs w:val="21"/>
        </w:rPr>
        <w:t>地点：</w:t>
      </w:r>
      <w:bookmarkStart w:id="17" w:name="OLE_LINK20"/>
      <w:r>
        <w:rPr>
          <w:rFonts w:hint="eastAsia" w:ascii="宋体" w:hAnsi="宋体" w:cs="宋体"/>
          <w:szCs w:val="21"/>
        </w:rPr>
        <w:t>江苏政府采购网</w:t>
      </w:r>
      <w:bookmarkStart w:id="18" w:name="OLE_LINK21"/>
      <w:r>
        <w:rPr>
          <w:rFonts w:hint="eastAsia" w:ascii="宋体" w:hAnsi="宋体" w:cs="宋体"/>
          <w:szCs w:val="21"/>
        </w:rPr>
        <w:t>“苏采云”系统</w:t>
      </w:r>
      <w:bookmarkEnd w:id="17"/>
      <w:bookmarkEnd w:id="18"/>
    </w:p>
    <w:p>
      <w:pPr>
        <w:widowControl/>
        <w:shd w:val="clear" w:color="auto" w:fill="FFFFFF"/>
        <w:spacing w:line="360" w:lineRule="auto"/>
        <w:ind w:firstLine="420"/>
        <w:jc w:val="left"/>
        <w:rPr>
          <w:rFonts w:ascii="宋体" w:hAnsi="宋体" w:cs="宋体"/>
          <w:bCs/>
          <w:szCs w:val="21"/>
        </w:rPr>
      </w:pPr>
      <w:bookmarkStart w:id="19" w:name="_Hlk75168366"/>
      <w:bookmarkStart w:id="20" w:name="_Hlk168491228"/>
      <w:bookmarkStart w:id="21" w:name="_Hlk168491149"/>
      <w:bookmarkStart w:id="22" w:name="_Hlk164960028"/>
      <w:r>
        <w:rPr>
          <w:rFonts w:hint="eastAsia" w:ascii="宋体" w:hAnsi="宋体" w:cs="宋体"/>
          <w:szCs w:val="21"/>
        </w:rPr>
        <w:t>方式：</w:t>
      </w:r>
      <w:bookmarkEnd w:id="19"/>
      <w:bookmarkStart w:id="23" w:name="_Hlk168492824"/>
      <w:bookmarkStart w:id="24" w:name="_Hlk163662034"/>
      <w:bookmarkStart w:id="25" w:name="_Hlk95487722"/>
      <w:r>
        <w:rPr>
          <w:rFonts w:hint="eastAsia" w:ascii="宋体" w:hAnsi="宋体" w:cs="宋体"/>
          <w:szCs w:val="21"/>
        </w:rPr>
        <w:t>投标人登陆江苏政府采购网，在网站首页点击“苏采云”系统</w:t>
      </w:r>
      <w:r>
        <w:rPr>
          <w:rFonts w:hint="eastAsia" w:ascii="宋体" w:hAnsi="宋体" w:cs="宋体"/>
          <w:bCs/>
          <w:szCs w:val="21"/>
        </w:rPr>
        <w:t>自行免费下载</w:t>
      </w:r>
      <w:bookmarkEnd w:id="15"/>
      <w:bookmarkEnd w:id="20"/>
      <w:bookmarkEnd w:id="21"/>
      <w:bookmarkEnd w:id="22"/>
      <w:bookmarkEnd w:id="23"/>
      <w:bookmarkEnd w:id="24"/>
    </w:p>
    <w:p>
      <w:pPr>
        <w:widowControl/>
        <w:spacing w:line="360" w:lineRule="auto"/>
        <w:ind w:firstLine="420"/>
        <w:rPr>
          <w:rFonts w:ascii="宋体" w:hAnsi="宋体" w:cs="宋体"/>
          <w:szCs w:val="21"/>
        </w:rPr>
      </w:pPr>
      <w:bookmarkStart w:id="26" w:name="_Hlk128043211"/>
      <w:r>
        <w:rPr>
          <w:rFonts w:hint="eastAsia" w:ascii="宋体" w:hAnsi="宋体" w:cs="宋体"/>
          <w:szCs w:val="21"/>
        </w:rPr>
        <w:t>售价：0元</w:t>
      </w:r>
      <w:bookmarkEnd w:id="14"/>
      <w:bookmarkEnd w:id="16"/>
      <w:bookmarkEnd w:id="25"/>
      <w:bookmarkEnd w:id="26"/>
    </w:p>
    <w:p>
      <w:pPr>
        <w:widowControl/>
        <w:shd w:val="clear" w:color="auto" w:fill="FFFFFF"/>
        <w:spacing w:line="360" w:lineRule="auto"/>
        <w:ind w:firstLine="422"/>
        <w:jc w:val="left"/>
        <w:rPr>
          <w:rFonts w:ascii="宋体" w:hAnsi="宋体" w:cs="宋体"/>
          <w:b/>
          <w:szCs w:val="21"/>
        </w:rPr>
      </w:pPr>
      <w:r>
        <w:rPr>
          <w:rFonts w:hint="eastAsia" w:ascii="宋体" w:hAnsi="宋体" w:cs="宋体"/>
          <w:b/>
          <w:szCs w:val="21"/>
        </w:rPr>
        <w:t>四、</w:t>
      </w:r>
      <w:bookmarkStart w:id="27" w:name="_Hlk44579106"/>
      <w:r>
        <w:rPr>
          <w:rFonts w:hint="eastAsia" w:ascii="宋体" w:hAnsi="宋体" w:cs="宋体"/>
          <w:b/>
          <w:szCs w:val="21"/>
        </w:rPr>
        <w:t>提交投标文件截止时间、开标时间和地点</w:t>
      </w:r>
      <w:bookmarkEnd w:id="27"/>
    </w:p>
    <w:p>
      <w:pPr>
        <w:widowControl/>
        <w:shd w:val="clear" w:color="auto" w:fill="FFFFFF"/>
        <w:spacing w:line="360" w:lineRule="auto"/>
        <w:ind w:firstLine="420"/>
        <w:jc w:val="left"/>
        <w:rPr>
          <w:rFonts w:ascii="宋体" w:hAnsi="宋体" w:cs="宋体"/>
          <w:szCs w:val="21"/>
        </w:rPr>
      </w:pPr>
      <w:bookmarkStart w:id="28" w:name="_Hlk44575721"/>
      <w:r>
        <w:rPr>
          <w:rFonts w:hint="eastAsia" w:ascii="宋体" w:hAnsi="宋体" w:cs="宋体"/>
          <w:szCs w:val="21"/>
        </w:rPr>
        <w:t>2026年</w:t>
      </w:r>
      <w:r>
        <w:rPr>
          <w:rFonts w:hint="eastAsia" w:ascii="宋体" w:hAnsi="宋体" w:cs="宋体"/>
          <w:szCs w:val="21"/>
          <w:lang w:val="en-US" w:eastAsia="zh-CN"/>
        </w:rPr>
        <w:t>7</w:t>
      </w:r>
      <w:r>
        <w:rPr>
          <w:rFonts w:hint="eastAsia" w:ascii="宋体" w:hAnsi="宋体" w:cs="宋体"/>
          <w:szCs w:val="21"/>
        </w:rPr>
        <w:t>月</w:t>
      </w:r>
      <w:r>
        <w:rPr>
          <w:rFonts w:hint="eastAsia" w:ascii="宋体" w:hAnsi="宋体" w:cs="宋体"/>
          <w:szCs w:val="21"/>
          <w:lang w:val="en-US" w:eastAsia="zh-CN"/>
        </w:rPr>
        <w:t>30</w:t>
      </w:r>
      <w:r>
        <w:rPr>
          <w:rFonts w:hint="eastAsia" w:ascii="宋体" w:hAnsi="宋体" w:cs="宋体"/>
          <w:szCs w:val="21"/>
        </w:rPr>
        <w:t xml:space="preserve">日 </w:t>
      </w:r>
      <w:r>
        <w:rPr>
          <w:rFonts w:hint="eastAsia" w:ascii="宋体" w:hAnsi="宋体" w:cs="宋体"/>
          <w:szCs w:val="21"/>
          <w:lang w:val="en-US" w:eastAsia="zh-CN"/>
        </w:rPr>
        <w:t>14</w:t>
      </w:r>
      <w:r>
        <w:rPr>
          <w:rFonts w:hint="eastAsia" w:ascii="宋体" w:hAnsi="宋体" w:cs="宋体"/>
          <w:szCs w:val="21"/>
        </w:rPr>
        <w:t>:30</w:t>
      </w:r>
      <w:bookmarkEnd w:id="28"/>
      <w:r>
        <w:rPr>
          <w:rFonts w:hint="eastAsia" w:ascii="宋体" w:hAnsi="宋体" w:cs="宋体"/>
          <w:szCs w:val="21"/>
        </w:rPr>
        <w:t xml:space="preserve"> （北京时间）</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地点：</w:t>
      </w:r>
      <w:bookmarkStart w:id="29" w:name="_Hlk176530129"/>
      <w:r>
        <w:rPr>
          <w:rFonts w:hint="eastAsia" w:ascii="宋体" w:hAnsi="宋体" w:cs="宋体"/>
          <w:szCs w:val="21"/>
        </w:rPr>
        <w:t>“苏采云”系统开标大厅</w:t>
      </w:r>
      <w:bookmarkEnd w:id="29"/>
    </w:p>
    <w:p>
      <w:pPr>
        <w:widowControl/>
        <w:shd w:val="clear" w:color="auto" w:fill="FFFFFF"/>
        <w:spacing w:line="360" w:lineRule="auto"/>
        <w:ind w:firstLine="422"/>
        <w:jc w:val="left"/>
        <w:rPr>
          <w:rFonts w:ascii="宋体" w:hAnsi="宋体" w:cs="宋体"/>
          <w:b/>
          <w:bCs/>
          <w:szCs w:val="21"/>
        </w:rPr>
      </w:pPr>
      <w:r>
        <w:rPr>
          <w:rFonts w:hint="eastAsia" w:ascii="宋体" w:hAnsi="宋体" w:cs="宋体"/>
          <w:b/>
          <w:bCs/>
          <w:szCs w:val="21"/>
        </w:rPr>
        <w:t>五、公告期限</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自本公告发布之日起5个工作日。</w:t>
      </w:r>
    </w:p>
    <w:p>
      <w:pPr>
        <w:widowControl/>
        <w:shd w:val="clear" w:color="auto" w:fill="FFFFFF"/>
        <w:spacing w:line="360" w:lineRule="auto"/>
        <w:ind w:firstLine="422"/>
        <w:jc w:val="left"/>
        <w:rPr>
          <w:rFonts w:ascii="宋体" w:hAnsi="宋体" w:cs="宋体"/>
          <w:b/>
          <w:bCs/>
          <w:szCs w:val="21"/>
        </w:rPr>
      </w:pPr>
      <w:r>
        <w:rPr>
          <w:rFonts w:hint="eastAsia" w:ascii="宋体" w:hAnsi="宋体" w:cs="宋体"/>
          <w:b/>
          <w:bCs/>
          <w:szCs w:val="21"/>
          <w:lang w:val="zh-CN"/>
        </w:rPr>
        <w:t>六</w:t>
      </w:r>
      <w:r>
        <w:rPr>
          <w:rFonts w:hint="eastAsia" w:ascii="宋体" w:hAnsi="宋体" w:cs="宋体"/>
          <w:b/>
          <w:bCs/>
          <w:szCs w:val="21"/>
        </w:rPr>
        <w:t>、其他补充事宜</w:t>
      </w:r>
    </w:p>
    <w:p>
      <w:pPr>
        <w:widowControl/>
        <w:shd w:val="clear" w:color="auto" w:fill="FFFFFF"/>
        <w:spacing w:line="360" w:lineRule="auto"/>
        <w:ind w:firstLine="420"/>
        <w:jc w:val="left"/>
        <w:rPr>
          <w:rFonts w:ascii="宋体" w:hAnsi="宋体" w:cs="宋体"/>
          <w:bCs/>
          <w:szCs w:val="21"/>
        </w:rPr>
      </w:pPr>
      <w:r>
        <w:rPr>
          <w:rFonts w:hint="eastAsia" w:ascii="宋体" w:hAnsi="宋体" w:cs="宋体"/>
          <w:bCs/>
          <w:szCs w:val="21"/>
        </w:rPr>
        <w:t>1.</w:t>
      </w:r>
      <w:r>
        <w:rPr>
          <w:rFonts w:hint="eastAsia" w:ascii="宋体" w:hAnsi="宋体" w:cs="宋体"/>
          <w:shd w:val="clear" w:color="auto" w:fill="FFFFFF"/>
        </w:rPr>
        <w:t xml:space="preserve"> 本项目根据中小企业划型标准</w:t>
      </w:r>
      <w:r>
        <w:rPr>
          <w:rFonts w:hint="eastAsia" w:ascii="宋体" w:hAnsi="宋体" w:cs="宋体"/>
          <w:bCs/>
          <w:szCs w:val="21"/>
        </w:rPr>
        <w:t>属于：其他未列明行业。</w:t>
      </w:r>
    </w:p>
    <w:p>
      <w:pPr>
        <w:spacing w:line="360" w:lineRule="auto"/>
        <w:ind w:firstLine="420"/>
        <w:rPr>
          <w:rFonts w:ascii="宋体" w:hAnsi="宋体" w:cs="宋体"/>
          <w:bCs/>
          <w:szCs w:val="21"/>
        </w:rPr>
      </w:pPr>
      <w:r>
        <w:rPr>
          <w:rFonts w:hint="eastAsia" w:ascii="宋体" w:hAnsi="宋体" w:cs="宋体"/>
          <w:bCs/>
          <w:szCs w:val="21"/>
        </w:rPr>
        <w:t>2.本项目在</w:t>
      </w:r>
      <w:r>
        <w:rPr>
          <w:rFonts w:hint="eastAsia" w:ascii="宋体" w:hAnsi="宋体" w:cs="宋体"/>
          <w:b/>
          <w:szCs w:val="21"/>
        </w:rPr>
        <w:t>江苏政府采购网</w:t>
      </w:r>
      <w:r>
        <w:rPr>
          <w:rFonts w:hint="eastAsia" w:ascii="宋体" w:hAnsi="宋体" w:cs="宋体"/>
          <w:bCs/>
          <w:szCs w:val="21"/>
        </w:rPr>
        <w:t>发布公告（其他媒体转载无效）。</w:t>
      </w:r>
    </w:p>
    <w:p>
      <w:pPr>
        <w:spacing w:line="360" w:lineRule="auto"/>
        <w:ind w:firstLine="420"/>
        <w:rPr>
          <w:rFonts w:ascii="宋体" w:hAnsi="宋体" w:cs="宋体"/>
          <w:bCs/>
          <w:szCs w:val="21"/>
        </w:rPr>
      </w:pPr>
      <w:r>
        <w:rPr>
          <w:rFonts w:hint="eastAsia" w:ascii="宋体" w:hAnsi="宋体" w:cs="宋体"/>
          <w:bCs/>
          <w:szCs w:val="21"/>
        </w:rPr>
        <w:t>3.本项目不专门面向中小微企业采购，执行价格扣除优惠政策，</w:t>
      </w:r>
      <w:r>
        <w:rPr>
          <w:rFonts w:hint="eastAsia" w:ascii="宋体" w:hAnsi="宋体" w:cs="宋体"/>
          <w:szCs w:val="21"/>
        </w:rPr>
        <w:t>具体内容详见采购文件第二章政策功能。</w:t>
      </w:r>
    </w:p>
    <w:p>
      <w:pPr>
        <w:spacing w:line="360" w:lineRule="auto"/>
        <w:ind w:firstLine="420"/>
        <w:jc w:val="left"/>
        <w:rPr>
          <w:rFonts w:ascii="宋体" w:hAnsi="宋体" w:cs="宋体"/>
          <w:szCs w:val="21"/>
          <w:u w:val="single"/>
        </w:rPr>
      </w:pPr>
      <w:r>
        <w:rPr>
          <w:rFonts w:hint="eastAsia" w:ascii="宋体" w:hAnsi="宋体" w:cs="宋体"/>
          <w:bCs/>
          <w:szCs w:val="21"/>
        </w:rPr>
        <w:t>4. 勘察现场或答疑：采购人不统一组织，有需要的投标人可自行勘察。</w:t>
      </w:r>
    </w:p>
    <w:p>
      <w:pPr>
        <w:widowControl/>
        <w:shd w:val="clear" w:color="auto" w:fill="FFFFFF"/>
        <w:spacing w:line="360" w:lineRule="auto"/>
        <w:ind w:firstLine="422"/>
        <w:jc w:val="left"/>
        <w:rPr>
          <w:rFonts w:ascii="宋体" w:hAnsi="宋体" w:cs="宋体"/>
          <w:b/>
          <w:bCs/>
          <w:szCs w:val="21"/>
          <w:lang w:val="zh-CN"/>
        </w:rPr>
      </w:pPr>
      <w:bookmarkStart w:id="30" w:name="_Hlk163569423"/>
      <w:r>
        <w:rPr>
          <w:rFonts w:hint="eastAsia" w:ascii="宋体" w:hAnsi="宋体" w:cs="宋体"/>
          <w:b/>
          <w:bCs/>
          <w:szCs w:val="21"/>
        </w:rPr>
        <w:t>5</w:t>
      </w:r>
      <w:r>
        <w:rPr>
          <w:rFonts w:hint="eastAsia" w:ascii="宋体" w:hAnsi="宋体" w:cs="宋体"/>
          <w:b/>
          <w:bCs/>
          <w:szCs w:val="21"/>
          <w:lang w:val="zh-CN"/>
        </w:rPr>
        <w:t>. 拒绝下述投标人参加本次采购活动</w:t>
      </w:r>
    </w:p>
    <w:p>
      <w:pPr>
        <w:spacing w:line="360" w:lineRule="auto"/>
        <w:ind w:firstLine="420"/>
        <w:jc w:val="left"/>
        <w:rPr>
          <w:rFonts w:ascii="宋体" w:hAnsi="宋体" w:cs="宋体"/>
          <w:bCs/>
          <w:szCs w:val="21"/>
        </w:rPr>
      </w:pPr>
      <w:r>
        <w:rPr>
          <w:rFonts w:hint="eastAsia" w:ascii="宋体" w:hAnsi="宋体" w:cs="宋体"/>
          <w:bCs/>
          <w:szCs w:val="21"/>
        </w:rPr>
        <w:t>（1）投标人单位负责人为同一人或者存在直接控股、管理关系的不同投标人，不得参加同一合同项下的政府采购活动。</w:t>
      </w:r>
    </w:p>
    <w:p>
      <w:pPr>
        <w:spacing w:line="360" w:lineRule="auto"/>
        <w:ind w:firstLine="420"/>
        <w:jc w:val="left"/>
        <w:rPr>
          <w:rFonts w:ascii="宋体" w:hAnsi="宋体" w:cs="宋体"/>
          <w:bCs/>
          <w:szCs w:val="21"/>
        </w:rPr>
      </w:pPr>
      <w:r>
        <w:rPr>
          <w:rFonts w:hint="eastAsia" w:ascii="宋体" w:hAnsi="宋体" w:cs="宋体"/>
          <w:bCs/>
          <w:szCs w:val="21"/>
        </w:rPr>
        <w:t>（2）为采购项目提供整体设计、规范编制或者项目管理、监理、检测等服务的投标人，不得参加本项目的采购活动。</w:t>
      </w:r>
    </w:p>
    <w:p>
      <w:pPr>
        <w:spacing w:line="360" w:lineRule="auto"/>
        <w:ind w:firstLine="420"/>
        <w:jc w:val="left"/>
        <w:rPr>
          <w:rFonts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p>
    <w:p>
      <w:pPr>
        <w:spacing w:line="360" w:lineRule="auto"/>
        <w:ind w:firstLine="422"/>
        <w:jc w:val="left"/>
        <w:rPr>
          <w:rFonts w:ascii="宋体" w:hAnsi="宋体" w:cs="宋体"/>
          <w:b/>
          <w:szCs w:val="21"/>
        </w:rPr>
      </w:pPr>
      <w:r>
        <w:rPr>
          <w:rFonts w:hint="eastAsia" w:ascii="宋体" w:hAnsi="宋体" w:cs="宋体"/>
          <w:b/>
          <w:szCs w:val="21"/>
        </w:rPr>
        <w:t>6.</w:t>
      </w:r>
      <w:r>
        <w:rPr>
          <w:rFonts w:hint="eastAsia" w:ascii="宋体" w:hAnsi="宋体" w:cs="宋体"/>
          <w:b/>
          <w:sz w:val="28"/>
          <w:szCs w:val="28"/>
        </w:rPr>
        <w:t xml:space="preserve"> </w:t>
      </w:r>
      <w:bookmarkStart w:id="31" w:name="OLE_LINK17"/>
      <w:r>
        <w:rPr>
          <w:rFonts w:hint="eastAsia" w:ascii="宋体" w:hAnsi="宋体" w:cs="宋体"/>
          <w:b/>
          <w:szCs w:val="21"/>
        </w:rPr>
        <w:t>投标人</w:t>
      </w:r>
      <w:bookmarkEnd w:id="31"/>
      <w:r>
        <w:rPr>
          <w:rFonts w:hint="eastAsia" w:ascii="宋体" w:hAnsi="宋体" w:cs="宋体"/>
          <w:b/>
          <w:szCs w:val="21"/>
        </w:rPr>
        <w:t>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52"/>
          <w:rFonts w:hint="eastAsia" w:ascii="宋体" w:hAnsi="宋体" w:cs="宋体"/>
          <w:b/>
          <w:color w:val="auto"/>
          <w:szCs w:val="21"/>
        </w:rPr>
        <w:t>下载地址</w:t>
      </w:r>
      <w:r>
        <w:rPr>
          <w:rStyle w:val="52"/>
          <w:rFonts w:hint="eastAsia" w:ascii="宋体" w:hAnsi="宋体" w:cs="宋体"/>
          <w:b/>
          <w:color w:val="auto"/>
          <w:szCs w:val="21"/>
        </w:rPr>
        <w:fldChar w:fldCharType="end"/>
      </w:r>
      <w:r>
        <w:rPr>
          <w:rFonts w:hint="eastAsia" w:ascii="宋体" w:hAnsi="宋体" w:cs="宋体"/>
          <w:b/>
          <w:szCs w:val="21"/>
        </w:rPr>
        <w:t>（http://www.ccgp-jiangsu.gov.cn/jiangsu/zlxz/ee/ee3a4bc5a3454aa2b0d9312230633ce9.html）。</w:t>
      </w:r>
      <w:bookmarkStart w:id="32" w:name="OLE_LINK2"/>
      <w:r>
        <w:rPr>
          <w:rFonts w:hint="eastAsia" w:ascii="宋体" w:hAnsi="宋体" w:cs="宋体"/>
          <w:b/>
          <w:szCs w:val="21"/>
        </w:rPr>
        <w:t>“苏采云”南京地区客服热线025-83633744、025-83633743。</w:t>
      </w:r>
      <w:bookmarkEnd w:id="32"/>
    </w:p>
    <w:p>
      <w:pPr>
        <w:spacing w:line="360" w:lineRule="auto"/>
        <w:ind w:firstLine="420"/>
        <w:jc w:val="left"/>
        <w:rPr>
          <w:rFonts w:ascii="宋体" w:hAnsi="宋体" w:cs="宋体"/>
          <w:bCs/>
          <w:szCs w:val="21"/>
        </w:rPr>
      </w:pPr>
      <w:r>
        <w:rPr>
          <w:rFonts w:hint="eastAsia" w:ascii="宋体" w:hAnsi="宋体" w:cs="宋体"/>
          <w:bCs/>
          <w:szCs w:val="21"/>
        </w:rPr>
        <w:t>7. 有关本次招标的事项若存在变动或修改，请及时关注“江苏政府采购网”（www.ccgp-jiangsu.gov.cn）更正公告。</w:t>
      </w:r>
    </w:p>
    <w:bookmarkEnd w:id="30"/>
    <w:p>
      <w:pPr>
        <w:widowControl/>
        <w:shd w:val="clear" w:color="auto" w:fill="FFFFFF"/>
        <w:spacing w:line="360" w:lineRule="auto"/>
        <w:ind w:firstLine="422"/>
        <w:jc w:val="left"/>
        <w:rPr>
          <w:rFonts w:ascii="宋体" w:hAnsi="宋体" w:cs="宋体"/>
          <w:b/>
          <w:bCs/>
          <w:szCs w:val="21"/>
        </w:rPr>
      </w:pPr>
      <w:r>
        <w:rPr>
          <w:rFonts w:hint="eastAsia" w:ascii="宋体" w:hAnsi="宋体" w:cs="宋体"/>
          <w:b/>
          <w:bCs/>
          <w:szCs w:val="21"/>
        </w:rPr>
        <w:t>七、对本次招标提出询问，请按以下方式联系</w:t>
      </w:r>
    </w:p>
    <w:p>
      <w:pPr>
        <w:widowControl/>
        <w:shd w:val="clear" w:color="auto" w:fill="FFFFFF"/>
        <w:spacing w:line="360" w:lineRule="auto"/>
        <w:ind w:firstLine="422"/>
        <w:jc w:val="left"/>
        <w:rPr>
          <w:rFonts w:ascii="宋体" w:hAnsi="宋体" w:cs="宋体"/>
          <w:b/>
          <w:szCs w:val="21"/>
        </w:rPr>
      </w:pPr>
      <w:r>
        <w:rPr>
          <w:rFonts w:hint="eastAsia" w:ascii="宋体" w:hAnsi="宋体" w:cs="宋体"/>
          <w:b/>
          <w:szCs w:val="21"/>
        </w:rPr>
        <w:t>1.采购人信息</w:t>
      </w:r>
    </w:p>
    <w:p>
      <w:pPr>
        <w:widowControl/>
        <w:shd w:val="clear" w:color="auto" w:fill="FFFFFF"/>
        <w:spacing w:line="360" w:lineRule="auto"/>
        <w:ind w:firstLine="420"/>
        <w:jc w:val="left"/>
        <w:rPr>
          <w:rFonts w:ascii="宋体" w:hAnsi="宋体" w:cs="宋体"/>
          <w:b/>
          <w:szCs w:val="21"/>
          <w:u w:val="single"/>
        </w:rPr>
      </w:pPr>
      <w:r>
        <w:rPr>
          <w:rFonts w:hint="eastAsia" w:ascii="宋体" w:hAnsi="宋体" w:cs="宋体"/>
          <w:bCs/>
          <w:szCs w:val="21"/>
        </w:rPr>
        <w:t>单位名称：</w:t>
      </w:r>
      <w:r>
        <w:rPr>
          <w:rFonts w:hint="eastAsia" w:ascii="宋体" w:hAnsi="宋体" w:cs="宋体"/>
          <w:bCs/>
          <w:szCs w:val="21"/>
          <w:u w:val="single"/>
        </w:rPr>
        <w:t>江苏经贸职业技术学院</w:t>
      </w:r>
    </w:p>
    <w:p>
      <w:pPr>
        <w:spacing w:line="360" w:lineRule="auto"/>
        <w:ind w:firstLine="420"/>
        <w:jc w:val="left"/>
        <w:rPr>
          <w:rFonts w:ascii="宋体" w:hAnsi="宋体" w:cs="宋体"/>
          <w:szCs w:val="21"/>
          <w:u w:val="single"/>
          <w:lang w:val="zh-CN"/>
        </w:rPr>
      </w:pPr>
      <w:r>
        <w:rPr>
          <w:rFonts w:hint="eastAsia" w:ascii="宋体" w:hAnsi="宋体" w:cs="宋体"/>
          <w:szCs w:val="21"/>
          <w:lang w:val="zh-CN"/>
        </w:rPr>
        <w:t>单位地址：</w:t>
      </w:r>
      <w:r>
        <w:rPr>
          <w:rFonts w:ascii="宋体" w:hAnsi="宋体" w:cs="宋体"/>
          <w:bCs/>
          <w:szCs w:val="21"/>
          <w:u w:val="single"/>
        </w:rPr>
        <w:t>南京市江宁区龙眠大道180号</w:t>
      </w:r>
    </w:p>
    <w:p>
      <w:pPr>
        <w:spacing w:line="360" w:lineRule="auto"/>
        <w:ind w:firstLine="420"/>
        <w:jc w:val="left"/>
        <w:rPr>
          <w:rFonts w:ascii="宋体" w:hAnsi="宋体" w:cs="宋体"/>
          <w:bCs/>
          <w:szCs w:val="21"/>
        </w:rPr>
      </w:pPr>
      <w:r>
        <w:rPr>
          <w:rFonts w:hint="eastAsia" w:ascii="宋体" w:hAnsi="宋体" w:cs="宋体"/>
          <w:bCs/>
          <w:szCs w:val="21"/>
        </w:rPr>
        <w:t>联系人：</w:t>
      </w:r>
      <w:r>
        <w:rPr>
          <w:rFonts w:hint="eastAsia" w:ascii="宋体" w:hAnsi="宋体" w:cs="宋体"/>
          <w:spacing w:val="8"/>
          <w:szCs w:val="21"/>
          <w:u w:val="single"/>
        </w:rPr>
        <w:t>许老师</w:t>
      </w:r>
    </w:p>
    <w:p>
      <w:pPr>
        <w:spacing w:line="360" w:lineRule="auto"/>
        <w:ind w:firstLine="420"/>
        <w:jc w:val="left"/>
        <w:rPr>
          <w:rFonts w:ascii="宋体" w:hAnsi="宋体" w:cs="宋体"/>
          <w:bCs/>
          <w:szCs w:val="21"/>
          <w:highlight w:val="yellow"/>
        </w:rPr>
      </w:pPr>
      <w:r>
        <w:rPr>
          <w:rFonts w:hint="eastAsia" w:ascii="宋体" w:hAnsi="宋体" w:cs="宋体"/>
          <w:bCs/>
          <w:szCs w:val="21"/>
        </w:rPr>
        <w:t>联系电话：</w:t>
      </w:r>
      <w:r>
        <w:rPr>
          <w:rFonts w:hint="eastAsia" w:ascii="宋体" w:hAnsi="宋体"/>
          <w:sz w:val="22"/>
          <w:szCs w:val="22"/>
          <w:u w:val="single"/>
          <w:shd w:val="clear" w:color="auto" w:fill="FFFFFF"/>
        </w:rPr>
        <w:t>025-52710682</w:t>
      </w:r>
    </w:p>
    <w:p>
      <w:pPr>
        <w:widowControl/>
        <w:shd w:val="clear" w:color="auto" w:fill="FFFFFF"/>
        <w:spacing w:line="360" w:lineRule="auto"/>
        <w:ind w:firstLine="422"/>
        <w:jc w:val="left"/>
        <w:rPr>
          <w:rFonts w:ascii="宋体" w:hAnsi="宋体" w:cs="宋体"/>
          <w:b/>
          <w:szCs w:val="21"/>
        </w:rPr>
      </w:pPr>
      <w:r>
        <w:rPr>
          <w:rFonts w:hint="eastAsia" w:ascii="宋体" w:hAnsi="宋体" w:cs="宋体"/>
          <w:b/>
          <w:szCs w:val="21"/>
        </w:rPr>
        <w:t>2.采购代理机构信息（如有）</w:t>
      </w:r>
    </w:p>
    <w:p>
      <w:pPr>
        <w:spacing w:line="360" w:lineRule="auto"/>
        <w:ind w:firstLine="420" w:firstLineChars="200"/>
        <w:rPr>
          <w:rFonts w:ascii="宋体" w:hAnsi="宋体"/>
        </w:rPr>
      </w:pPr>
      <w:r>
        <w:rPr>
          <w:rFonts w:hint="eastAsia" w:ascii="宋体" w:hAnsi="宋体"/>
        </w:rPr>
        <w:t>名 称：</w:t>
      </w:r>
      <w:r>
        <w:rPr>
          <w:rFonts w:hint="eastAsia" w:ascii="宋体" w:hAnsi="宋体"/>
          <w:u w:val="single"/>
        </w:rPr>
        <w:t>江苏益诚建设工程咨询有限公司</w:t>
      </w:r>
    </w:p>
    <w:p>
      <w:pPr>
        <w:spacing w:line="360" w:lineRule="auto"/>
        <w:ind w:firstLine="420" w:firstLineChars="200"/>
        <w:rPr>
          <w:rFonts w:ascii="宋体" w:hAnsi="宋体"/>
        </w:rPr>
      </w:pPr>
      <w:r>
        <w:rPr>
          <w:rFonts w:hint="eastAsia" w:ascii="宋体" w:hAnsi="宋体"/>
        </w:rPr>
        <w:t>地　址：</w:t>
      </w:r>
      <w:r>
        <w:rPr>
          <w:rFonts w:hint="eastAsia" w:ascii="宋体" w:hAnsi="宋体"/>
          <w:u w:val="single"/>
        </w:rPr>
        <w:t>南京市鼓楼区建宁路37号万谷智慧硅巷12楼</w:t>
      </w:r>
    </w:p>
    <w:p>
      <w:pPr>
        <w:spacing w:line="360" w:lineRule="auto"/>
        <w:ind w:firstLine="420" w:firstLineChars="200"/>
        <w:rPr>
          <w:rFonts w:ascii="宋体" w:hAnsi="宋体"/>
        </w:rPr>
      </w:pPr>
      <w:r>
        <w:rPr>
          <w:rFonts w:hint="eastAsia" w:ascii="宋体" w:hAnsi="宋体"/>
        </w:rPr>
        <w:t xml:space="preserve">联系方式： </w:t>
      </w:r>
      <w:r>
        <w:rPr>
          <w:rFonts w:hint="eastAsia" w:ascii="宋体" w:hAnsi="宋体"/>
          <w:u w:val="single"/>
        </w:rPr>
        <w:t>025-83110282/15358199268</w:t>
      </w:r>
    </w:p>
    <w:p>
      <w:pPr>
        <w:widowControl/>
        <w:shd w:val="clear" w:color="auto" w:fill="FFFFFF"/>
        <w:spacing w:line="360" w:lineRule="auto"/>
        <w:ind w:firstLine="422"/>
        <w:jc w:val="left"/>
        <w:rPr>
          <w:rFonts w:ascii="宋体" w:hAnsi="宋体" w:cs="宋体"/>
          <w:b/>
          <w:szCs w:val="21"/>
        </w:rPr>
      </w:pPr>
      <w:r>
        <w:rPr>
          <w:rFonts w:hint="eastAsia" w:ascii="宋体" w:hAnsi="宋体" w:cs="宋体"/>
          <w:b/>
          <w:szCs w:val="21"/>
        </w:rPr>
        <w:t>3.项目联系方式</w:t>
      </w:r>
    </w:p>
    <w:bookmarkEnd w:id="2"/>
    <w:p>
      <w:pPr>
        <w:pStyle w:val="20"/>
        <w:spacing w:line="360" w:lineRule="auto"/>
        <w:ind w:firstLine="630" w:firstLineChars="300"/>
        <w:rPr>
          <w:rFonts w:hAnsi="宋体"/>
          <w:bCs/>
        </w:rPr>
      </w:pPr>
      <w:r>
        <w:rPr>
          <w:rFonts w:hint="eastAsia" w:ascii="宋体" w:hAnsi="宋体"/>
          <w:sz w:val="21"/>
          <w:szCs w:val="24"/>
        </w:rPr>
        <w:t>项目联系人</w:t>
      </w:r>
      <w:r>
        <w:rPr>
          <w:rFonts w:hint="eastAsia" w:ascii="宋体" w:hAnsi="宋体"/>
          <w:sz w:val="21"/>
          <w:szCs w:val="24"/>
          <w:u w:val="single"/>
        </w:rPr>
        <w:t>：陶智慧</w:t>
      </w:r>
    </w:p>
    <w:p>
      <w:pPr>
        <w:spacing w:line="360" w:lineRule="auto"/>
        <w:ind w:firstLine="630" w:firstLineChars="300"/>
        <w:rPr>
          <w:rFonts w:ascii="宋体" w:hAnsi="宋体"/>
        </w:rPr>
      </w:pPr>
      <w:r>
        <w:rPr>
          <w:rFonts w:hint="eastAsia" w:ascii="宋体" w:hAnsi="宋体"/>
        </w:rPr>
        <w:t>电　话：</w:t>
      </w:r>
      <w:r>
        <w:rPr>
          <w:rFonts w:hint="eastAsia" w:ascii="宋体" w:hAnsi="宋体"/>
          <w:u w:val="single"/>
        </w:rPr>
        <w:t>15358199268</w:t>
      </w:r>
    </w:p>
    <w:p>
      <w:pPr>
        <w:pStyle w:val="203"/>
        <w:numPr>
          <w:ilvl w:val="0"/>
          <w:numId w:val="0"/>
        </w:numPr>
        <w:rPr>
          <w:rFonts w:ascii="宋体" w:hAnsi="宋体" w:cs="宋体"/>
        </w:rPr>
      </w:pPr>
      <w:r>
        <w:rPr>
          <w:rFonts w:hint="eastAsia" w:ascii="宋体" w:hAnsi="宋体" w:cs="宋体"/>
          <w:sz w:val="21"/>
          <w:szCs w:val="21"/>
        </w:rPr>
        <w:br w:type="page" w:clear="all"/>
      </w:r>
      <w:bookmarkStart w:id="33" w:name="_Toc7511"/>
      <w:bookmarkStart w:id="34" w:name="_Toc176529668"/>
      <w:r>
        <w:rPr>
          <w:rFonts w:hint="eastAsia" w:ascii="宋体" w:hAnsi="宋体" w:cs="宋体"/>
        </w:rPr>
        <w:t>第二章</w:t>
      </w:r>
      <w:bookmarkStart w:id="35" w:name="_Toc452625218"/>
      <w:r>
        <w:rPr>
          <w:rFonts w:hint="eastAsia" w:ascii="宋体" w:hAnsi="宋体" w:cs="宋体"/>
        </w:rPr>
        <w:t xml:space="preserve"> 投标人须知</w:t>
      </w:r>
      <w:bookmarkEnd w:id="33"/>
      <w:bookmarkEnd w:id="34"/>
      <w:bookmarkEnd w:id="35"/>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一、总 则</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1.适用法律</w:t>
      </w:r>
    </w:p>
    <w:p>
      <w:pPr>
        <w:widowControl/>
        <w:shd w:val="clear" w:color="auto" w:fill="FFFFFF"/>
        <w:spacing w:line="360" w:lineRule="auto"/>
        <w:ind w:firstLine="420"/>
        <w:rPr>
          <w:rFonts w:ascii="宋体" w:hAnsi="宋体" w:cs="宋体"/>
          <w:szCs w:val="21"/>
        </w:rPr>
      </w:pPr>
      <w:r>
        <w:rPr>
          <w:rFonts w:hint="eastAsia" w:ascii="宋体" w:hAnsi="宋体" w:cs="宋体"/>
          <w:szCs w:val="21"/>
        </w:rPr>
        <w:t>1.1本次采购适用《中华人民共和国政府采购法》、《中华人民共和国政府采购法实施条例》、《政府采购货物或服务招标投标管理办法》等法律、行政法规、部门规章和规范性文件。</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2.定义</w:t>
      </w:r>
    </w:p>
    <w:p>
      <w:pPr>
        <w:widowControl/>
        <w:shd w:val="clear" w:color="auto" w:fill="FFFFFF"/>
        <w:spacing w:line="360" w:lineRule="auto"/>
        <w:ind w:firstLine="420"/>
        <w:rPr>
          <w:rFonts w:ascii="宋体" w:hAnsi="宋体" w:cs="宋体"/>
          <w:szCs w:val="21"/>
        </w:rPr>
      </w:pPr>
      <w:bookmarkStart w:id="36" w:name="_Hlk44576213"/>
      <w:r>
        <w:rPr>
          <w:rFonts w:hint="eastAsia" w:ascii="宋体" w:hAnsi="宋体" w:cs="宋体"/>
          <w:szCs w:val="21"/>
        </w:rPr>
        <w:t>2.1“采购人”是指</w:t>
      </w:r>
      <w:bookmarkEnd w:id="36"/>
      <w:r>
        <w:rPr>
          <w:rFonts w:hint="eastAsia" w:ascii="宋体" w:hAnsi="宋体" w:cs="宋体"/>
          <w:szCs w:val="21"/>
        </w:rPr>
        <w:t>江苏经贸职业技术学院。</w:t>
      </w:r>
    </w:p>
    <w:p>
      <w:pPr>
        <w:widowControl/>
        <w:shd w:val="clear" w:color="auto" w:fill="FFFFFF"/>
        <w:spacing w:line="360" w:lineRule="auto"/>
        <w:ind w:firstLine="420"/>
        <w:rPr>
          <w:rFonts w:ascii="宋体" w:hAnsi="宋体" w:cs="宋体"/>
          <w:szCs w:val="21"/>
        </w:rPr>
      </w:pPr>
      <w:r>
        <w:rPr>
          <w:rFonts w:hint="eastAsia" w:ascii="宋体" w:hAnsi="宋体" w:cs="宋体"/>
          <w:szCs w:val="21"/>
        </w:rPr>
        <w:t>2.2“投标人或供应商”是指参加投标竞争，并符合采购文件规定资格条件的法人、其他组织或者自然人。</w:t>
      </w:r>
    </w:p>
    <w:p>
      <w:pPr>
        <w:widowControl/>
        <w:shd w:val="clear" w:color="auto" w:fill="FFFFFF"/>
        <w:spacing w:line="360" w:lineRule="auto"/>
        <w:ind w:firstLine="420"/>
        <w:rPr>
          <w:rFonts w:ascii="宋体" w:hAnsi="宋体" w:cs="宋体"/>
          <w:szCs w:val="21"/>
        </w:rPr>
      </w:pPr>
      <w:bookmarkStart w:id="37" w:name="_Hlk44576222"/>
      <w:r>
        <w:rPr>
          <w:rFonts w:hint="eastAsia" w:ascii="宋体" w:hAnsi="宋体" w:cs="宋体"/>
          <w:szCs w:val="21"/>
        </w:rPr>
        <w:t>2.3“采购代理机构”是指江苏益诚建设工程咨询有限公司。</w:t>
      </w:r>
      <w:bookmarkEnd w:id="37"/>
    </w:p>
    <w:p>
      <w:pPr>
        <w:widowControl/>
        <w:shd w:val="clear" w:color="auto" w:fill="FFFFFF"/>
        <w:spacing w:line="360" w:lineRule="auto"/>
        <w:ind w:firstLine="420"/>
        <w:rPr>
          <w:rFonts w:ascii="宋体" w:hAnsi="宋体" w:cs="宋体"/>
          <w:szCs w:val="21"/>
        </w:rPr>
      </w:pPr>
      <w:r>
        <w:rPr>
          <w:rFonts w:hint="eastAsia" w:ascii="宋体" w:hAnsi="宋体" w:cs="宋体"/>
          <w:szCs w:val="21"/>
        </w:rPr>
        <w:t>2.4“服务”指本采购文件中所述相关服务。</w:t>
      </w:r>
    </w:p>
    <w:p>
      <w:pPr>
        <w:widowControl/>
        <w:shd w:val="clear" w:color="auto" w:fill="FFFFFF"/>
        <w:spacing w:line="360" w:lineRule="auto"/>
        <w:ind w:firstLine="422"/>
        <w:rPr>
          <w:rFonts w:ascii="宋体" w:hAnsi="宋体" w:cs="宋体"/>
          <w:szCs w:val="21"/>
        </w:rPr>
      </w:pPr>
      <w:bookmarkStart w:id="38" w:name="_Hlk118723819"/>
      <w:bookmarkStart w:id="39" w:name="_Hlk84583107"/>
      <w:r>
        <w:rPr>
          <w:rFonts w:hint="eastAsia" w:ascii="宋体" w:hAnsi="宋体" w:cs="宋体"/>
          <w:b/>
          <w:bCs/>
          <w:szCs w:val="21"/>
        </w:rPr>
        <w:t>3.政策功能</w:t>
      </w:r>
      <w:bookmarkEnd w:id="38"/>
    </w:p>
    <w:p>
      <w:pPr>
        <w:widowControl/>
        <w:shd w:val="clear" w:color="auto" w:fill="FFFFFF"/>
        <w:spacing w:line="360" w:lineRule="auto"/>
        <w:ind w:firstLine="422"/>
        <w:rPr>
          <w:rFonts w:ascii="宋体" w:hAnsi="宋体" w:cs="宋体"/>
          <w:b/>
          <w:szCs w:val="21"/>
        </w:rPr>
      </w:pPr>
      <w:bookmarkStart w:id="40" w:name="_Hlk75345706"/>
      <w:r>
        <w:rPr>
          <w:rFonts w:hint="eastAsia" w:ascii="宋体" w:hAnsi="宋体" w:cs="宋体"/>
          <w:b/>
          <w:szCs w:val="21"/>
        </w:rPr>
        <w:t>3.1 中小企业政策</w:t>
      </w:r>
    </w:p>
    <w:p>
      <w:pPr>
        <w:widowControl/>
        <w:shd w:val="clear" w:color="auto" w:fill="FFFFFF"/>
        <w:spacing w:line="360" w:lineRule="auto"/>
        <w:ind w:firstLine="420"/>
        <w:rPr>
          <w:rFonts w:ascii="宋体" w:hAnsi="宋体" w:cs="宋体"/>
          <w:szCs w:val="21"/>
        </w:rPr>
      </w:pPr>
      <w:bookmarkStart w:id="41" w:name="_Hlk77845870"/>
      <w:bookmarkStart w:id="42" w:name="_Hlk84580649"/>
      <w:r>
        <w:rPr>
          <w:rFonts w:hint="eastAsia" w:ascii="宋体" w:hAnsi="宋体" w:cs="宋体"/>
          <w:szCs w:val="21"/>
        </w:rPr>
        <w:t>（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p>
    <w:p>
      <w:pPr>
        <w:widowControl/>
        <w:shd w:val="clear" w:color="auto" w:fill="FFFFFF"/>
        <w:spacing w:line="360" w:lineRule="auto"/>
        <w:ind w:firstLine="420"/>
        <w:rPr>
          <w:rFonts w:ascii="宋体" w:hAnsi="宋体" w:cs="宋体"/>
          <w:szCs w:val="21"/>
        </w:rPr>
      </w:pPr>
      <w:r>
        <w:rPr>
          <w:rFonts w:hint="eastAsia" w:ascii="宋体" w:hAnsi="宋体" w:cs="宋体"/>
          <w:szCs w:val="21"/>
        </w:rPr>
        <w:t>（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0"/>
      <w:bookmarkEnd w:id="41"/>
    </w:p>
    <w:p>
      <w:pPr>
        <w:widowControl/>
        <w:shd w:val="clear" w:color="auto" w:fill="FFFFFF"/>
        <w:spacing w:line="360" w:lineRule="auto"/>
        <w:ind w:firstLine="420"/>
        <w:rPr>
          <w:rFonts w:ascii="宋体" w:hAnsi="宋体" w:cs="宋体"/>
          <w:szCs w:val="21"/>
        </w:rPr>
      </w:pPr>
      <w:r>
        <w:rPr>
          <w:rFonts w:hint="eastAsia" w:ascii="宋体" w:hAnsi="宋体" w:cs="宋体"/>
          <w:szCs w:val="21"/>
        </w:rPr>
        <w:t>（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p>
    <w:p>
      <w:pPr>
        <w:widowControl/>
        <w:shd w:val="clear" w:color="auto" w:fill="FFFFFF"/>
        <w:spacing w:line="360" w:lineRule="auto"/>
        <w:ind w:firstLine="420"/>
        <w:rPr>
          <w:rFonts w:ascii="宋体" w:hAnsi="宋体" w:cs="宋体"/>
          <w:szCs w:val="21"/>
        </w:rPr>
      </w:pPr>
      <w:r>
        <w:rPr>
          <w:rFonts w:hint="eastAsia" w:ascii="宋体" w:hAnsi="宋体" w:cs="宋体"/>
          <w:szCs w:val="21"/>
        </w:rPr>
        <w:t>以联合体形式参加政府采购活动的，联合体各方均为中小企业的，联合体视同中小企业。其中，联合体各方均为小微企业的，联合体视同小微企业。</w:t>
      </w:r>
    </w:p>
    <w:p>
      <w:pPr>
        <w:widowControl/>
        <w:shd w:val="clear" w:color="auto" w:fill="FFFFFF"/>
        <w:spacing w:line="360" w:lineRule="auto"/>
        <w:ind w:firstLine="420"/>
        <w:rPr>
          <w:rFonts w:ascii="宋体" w:hAnsi="宋体" w:cs="宋体"/>
          <w:szCs w:val="21"/>
        </w:rPr>
      </w:pPr>
      <w:r>
        <w:rPr>
          <w:rFonts w:hint="eastAsia" w:ascii="宋体" w:hAnsi="宋体" w:cs="宋体"/>
          <w:szCs w:val="21"/>
        </w:rPr>
        <w:t>（4）依据《政府采购促进中小企业发展管理办法》（财库〔2020〕46号）规定的扶持政策获取政府采购合同后，小型、微型企业不得将合同分包给大型、中型企业，中型企业不得将合同分包给大型企业。</w:t>
      </w:r>
      <w:bookmarkEnd w:id="42"/>
    </w:p>
    <w:p>
      <w:pPr>
        <w:spacing w:line="360" w:lineRule="auto"/>
        <w:ind w:firstLine="422"/>
        <w:rPr>
          <w:rFonts w:ascii="宋体" w:hAnsi="宋体" w:cs="宋体"/>
          <w:b/>
          <w:bCs/>
          <w:szCs w:val="21"/>
        </w:rPr>
      </w:pPr>
      <w:r>
        <w:rPr>
          <w:rFonts w:hint="eastAsia" w:ascii="宋体" w:hAnsi="宋体" w:cs="宋体"/>
          <w:b/>
          <w:bCs/>
          <w:szCs w:val="21"/>
        </w:rPr>
        <w:t>3.</w:t>
      </w:r>
      <w:bookmarkStart w:id="43" w:name="_Hlk66802840"/>
      <w:r>
        <w:rPr>
          <w:rFonts w:hint="eastAsia" w:ascii="宋体" w:hAnsi="宋体" w:cs="宋体"/>
          <w:b/>
          <w:bCs/>
          <w:szCs w:val="21"/>
        </w:rPr>
        <w:t>2支持监狱企业（含监狱和戒毒企业）发展政策</w:t>
      </w:r>
      <w:bookmarkEnd w:id="43"/>
    </w:p>
    <w:p>
      <w:pPr>
        <w:spacing w:line="360" w:lineRule="auto"/>
        <w:ind w:firstLine="420"/>
        <w:rPr>
          <w:rFonts w:ascii="宋体" w:hAnsi="宋体" w:cs="宋体"/>
          <w:szCs w:val="21"/>
        </w:rPr>
      </w:pPr>
      <w:r>
        <w:rPr>
          <w:rFonts w:hint="eastAsia" w:ascii="宋体" w:hAnsi="宋体" w:cs="宋体"/>
          <w:szCs w:val="21"/>
        </w:rPr>
        <w:t>（1）根据《关于政府采购支持监狱企业发展有关问题的通知》，在政府采购活动中监狱企业视同小型、微型企业，享受预留份额、评审中价格扣除等政府采购促进中小企业发展的政府采购政策。</w:t>
      </w:r>
    </w:p>
    <w:p>
      <w:pPr>
        <w:widowControl/>
        <w:shd w:val="clear" w:color="auto" w:fill="FFFFFF"/>
        <w:spacing w:line="360" w:lineRule="auto"/>
        <w:ind w:firstLine="420"/>
        <w:rPr>
          <w:rFonts w:ascii="宋体" w:hAnsi="宋体" w:cs="宋体"/>
          <w:szCs w:val="21"/>
        </w:rPr>
      </w:pPr>
      <w:bookmarkStart w:id="44" w:name="_Hlk77845906"/>
      <w:r>
        <w:rPr>
          <w:rFonts w:hint="eastAsia" w:ascii="宋体" w:hAnsi="宋体" w:cs="宋体"/>
          <w:szCs w:val="21"/>
        </w:rPr>
        <w:t>（2）参加政府采购活动的监狱企业提供由省级以上</w:t>
      </w:r>
      <w:bookmarkStart w:id="45" w:name="_Hlk163033106"/>
      <w:r>
        <w:rPr>
          <w:rFonts w:hint="eastAsia" w:ascii="宋体" w:hAnsi="宋体" w:cs="宋体"/>
          <w:szCs w:val="21"/>
        </w:rPr>
        <w:t>监狱管理局、戒毒管理局</w:t>
      </w:r>
      <w:bookmarkEnd w:id="45"/>
      <w:r>
        <w:rPr>
          <w:rFonts w:hint="eastAsia" w:ascii="宋体" w:hAnsi="宋体" w:cs="宋体"/>
          <w:szCs w:val="21"/>
        </w:rPr>
        <w:t>(含新疆生产建设兵团)出具的属于监狱企业的证明文件，监狱和戒毒企业享受政府采购支持政策的要求详见《关于政府采购支持监狱企业发展有关问题的通知》（财库〔2014〕68号）。</w:t>
      </w:r>
      <w:bookmarkEnd w:id="44"/>
    </w:p>
    <w:p>
      <w:pPr>
        <w:spacing w:line="360" w:lineRule="auto"/>
        <w:ind w:firstLine="422"/>
        <w:rPr>
          <w:rFonts w:ascii="宋体" w:hAnsi="宋体" w:cs="宋体"/>
          <w:b/>
          <w:bCs/>
          <w:szCs w:val="21"/>
        </w:rPr>
      </w:pPr>
      <w:r>
        <w:rPr>
          <w:rFonts w:hint="eastAsia" w:ascii="宋体" w:hAnsi="宋体" w:cs="宋体"/>
          <w:b/>
          <w:bCs/>
          <w:szCs w:val="21"/>
        </w:rPr>
        <w:t>3.3促进残疾人就业政策</w:t>
      </w:r>
    </w:p>
    <w:p>
      <w:pPr>
        <w:spacing w:line="360" w:lineRule="auto"/>
        <w:ind w:firstLine="420"/>
        <w:rPr>
          <w:rFonts w:ascii="宋体" w:hAnsi="宋体" w:cs="宋体"/>
          <w:szCs w:val="21"/>
        </w:rPr>
      </w:pPr>
      <w:r>
        <w:rPr>
          <w:rFonts w:hint="eastAsia" w:ascii="宋体" w:hAnsi="宋体" w:cs="宋体"/>
          <w:szCs w:val="21"/>
        </w:rPr>
        <w:t>（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pPr>
        <w:widowControl/>
        <w:shd w:val="clear" w:color="auto" w:fill="FFFFFF"/>
        <w:spacing w:line="360" w:lineRule="auto"/>
        <w:ind w:firstLine="420"/>
        <w:rPr>
          <w:rFonts w:ascii="宋体" w:hAnsi="宋体" w:cs="宋体"/>
          <w:szCs w:val="21"/>
        </w:rPr>
      </w:pPr>
      <w:bookmarkStart w:id="46" w:name="_Hlk77845921"/>
      <w:r>
        <w:rPr>
          <w:rFonts w:hint="eastAsia" w:ascii="宋体" w:hAnsi="宋体" w:cs="宋体"/>
          <w:szCs w:val="21"/>
        </w:rPr>
        <w:t>（2）参加政府采购活动的残疾人福利性单位提供《残疾人福利性单位声明函》，残疾人福利性单位享受政府采购支持政策的要求详见《关于促进残疾人就业政府采购政策的通知》（财库〔2017〕141号）。</w:t>
      </w:r>
      <w:bookmarkEnd w:id="39"/>
      <w:bookmarkEnd w:id="46"/>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 xml:space="preserve">二、采购文件构成 </w:t>
      </w:r>
    </w:p>
    <w:p>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4.采购文件组成</w:t>
      </w:r>
    </w:p>
    <w:p>
      <w:pPr>
        <w:widowControl/>
        <w:shd w:val="clear" w:color="auto" w:fill="FFFFFF"/>
        <w:spacing w:line="360" w:lineRule="auto"/>
        <w:ind w:firstLine="420"/>
        <w:rPr>
          <w:rFonts w:ascii="宋体" w:hAnsi="宋体" w:cs="宋体"/>
          <w:szCs w:val="21"/>
        </w:rPr>
      </w:pPr>
      <w:r>
        <w:rPr>
          <w:rFonts w:hint="eastAsia" w:ascii="宋体" w:hAnsi="宋体" w:cs="宋体"/>
          <w:szCs w:val="21"/>
        </w:rPr>
        <w:t>4.1 采购文件由以下部分组成：</w:t>
      </w:r>
    </w:p>
    <w:p>
      <w:pPr>
        <w:widowControl/>
        <w:shd w:val="clear" w:color="auto" w:fill="FFFFFF"/>
        <w:spacing w:line="360" w:lineRule="auto"/>
        <w:ind w:firstLine="420"/>
        <w:rPr>
          <w:rFonts w:ascii="宋体" w:hAnsi="宋体" w:cs="宋体"/>
          <w:szCs w:val="21"/>
        </w:rPr>
      </w:pPr>
      <w:r>
        <w:rPr>
          <w:rFonts w:hint="eastAsia" w:ascii="宋体" w:hAnsi="宋体" w:cs="宋体"/>
          <w:szCs w:val="21"/>
        </w:rPr>
        <w:t>（1）招标公告</w:t>
      </w:r>
    </w:p>
    <w:p>
      <w:pPr>
        <w:widowControl/>
        <w:shd w:val="clear" w:color="auto" w:fill="FFFFFF"/>
        <w:spacing w:line="360" w:lineRule="auto"/>
        <w:ind w:firstLine="420"/>
        <w:rPr>
          <w:rFonts w:ascii="宋体" w:hAnsi="宋体" w:cs="宋体"/>
          <w:szCs w:val="21"/>
        </w:rPr>
      </w:pPr>
      <w:r>
        <w:rPr>
          <w:rFonts w:hint="eastAsia" w:ascii="宋体" w:hAnsi="宋体" w:cs="宋体"/>
          <w:szCs w:val="21"/>
        </w:rPr>
        <w:t>（2）投标人须知</w:t>
      </w:r>
    </w:p>
    <w:p>
      <w:pPr>
        <w:widowControl/>
        <w:shd w:val="clear" w:color="auto" w:fill="FFFFFF"/>
        <w:spacing w:line="360" w:lineRule="auto"/>
        <w:ind w:firstLine="420"/>
        <w:rPr>
          <w:rFonts w:ascii="宋体" w:hAnsi="宋体" w:cs="宋体"/>
          <w:szCs w:val="21"/>
        </w:rPr>
      </w:pPr>
      <w:r>
        <w:rPr>
          <w:rFonts w:hint="eastAsia" w:ascii="宋体" w:hAnsi="宋体" w:cs="宋体"/>
          <w:szCs w:val="21"/>
        </w:rPr>
        <w:t>（3）评标标准</w:t>
      </w:r>
    </w:p>
    <w:p>
      <w:pPr>
        <w:widowControl/>
        <w:shd w:val="clear" w:color="auto" w:fill="FFFFFF"/>
        <w:spacing w:line="360" w:lineRule="auto"/>
        <w:ind w:firstLine="420"/>
        <w:rPr>
          <w:rFonts w:ascii="宋体" w:hAnsi="宋体" w:cs="宋体"/>
          <w:szCs w:val="21"/>
        </w:rPr>
      </w:pPr>
      <w:r>
        <w:rPr>
          <w:rFonts w:hint="eastAsia" w:ascii="宋体" w:hAnsi="宋体" w:cs="宋体"/>
          <w:szCs w:val="21"/>
        </w:rPr>
        <w:t>（4）采购项目的内容和相关技术要求等</w:t>
      </w:r>
    </w:p>
    <w:p>
      <w:pPr>
        <w:widowControl/>
        <w:shd w:val="clear" w:color="auto" w:fill="FFFFFF"/>
        <w:spacing w:line="360" w:lineRule="auto"/>
        <w:ind w:firstLine="420"/>
        <w:rPr>
          <w:rFonts w:ascii="宋体" w:hAnsi="宋体" w:cs="宋体"/>
          <w:szCs w:val="21"/>
        </w:rPr>
      </w:pPr>
      <w:r>
        <w:rPr>
          <w:rFonts w:hint="eastAsia" w:ascii="宋体" w:hAnsi="宋体" w:cs="宋体"/>
          <w:szCs w:val="21"/>
        </w:rPr>
        <w:t>（5）合同主要条款及格式</w:t>
      </w:r>
    </w:p>
    <w:p>
      <w:pPr>
        <w:widowControl/>
        <w:shd w:val="clear" w:color="auto" w:fill="FFFFFF"/>
        <w:spacing w:line="360" w:lineRule="auto"/>
        <w:ind w:firstLine="420"/>
        <w:rPr>
          <w:rFonts w:ascii="宋体" w:hAnsi="宋体" w:cs="宋体"/>
          <w:szCs w:val="21"/>
        </w:rPr>
      </w:pPr>
      <w:r>
        <w:rPr>
          <w:rFonts w:hint="eastAsia" w:ascii="宋体" w:hAnsi="宋体" w:cs="宋体"/>
          <w:szCs w:val="21"/>
        </w:rPr>
        <w:t>（6）投标文件格式</w:t>
      </w:r>
    </w:p>
    <w:p>
      <w:pPr>
        <w:widowControl/>
        <w:shd w:val="clear" w:color="auto" w:fill="FFFFFF"/>
        <w:spacing w:line="360" w:lineRule="auto"/>
        <w:ind w:firstLine="420"/>
        <w:rPr>
          <w:rFonts w:ascii="宋体" w:hAnsi="宋体" w:cs="宋体"/>
          <w:szCs w:val="21"/>
        </w:rPr>
      </w:pPr>
      <w:r>
        <w:rPr>
          <w:rFonts w:hint="eastAsia" w:ascii="宋体" w:hAnsi="宋体" w:cs="宋体"/>
          <w:szCs w:val="21"/>
        </w:rPr>
        <w:t>投标人应仔细检查采购文件是否齐全，如有缺漏请立即与采购代理机构联系。</w:t>
      </w:r>
    </w:p>
    <w:p>
      <w:pPr>
        <w:widowControl/>
        <w:shd w:val="clear" w:color="auto" w:fill="FFFFFF"/>
        <w:spacing w:line="360" w:lineRule="auto"/>
        <w:ind w:firstLine="420"/>
        <w:rPr>
          <w:rFonts w:ascii="宋体" w:hAnsi="宋体" w:cs="宋体"/>
          <w:szCs w:val="21"/>
        </w:rPr>
      </w:pPr>
      <w:r>
        <w:rPr>
          <w:rFonts w:hint="eastAsia" w:ascii="宋体" w:hAnsi="宋体" w:cs="宋体"/>
          <w:szCs w:val="21"/>
        </w:rPr>
        <w:t>4.2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pPr>
        <w:widowControl/>
        <w:shd w:val="clear" w:color="auto" w:fill="FFFFFF"/>
        <w:spacing w:line="360" w:lineRule="auto"/>
        <w:ind w:firstLine="420"/>
        <w:rPr>
          <w:rFonts w:ascii="宋体" w:hAnsi="宋体" w:cs="宋体"/>
          <w:szCs w:val="21"/>
        </w:rPr>
      </w:pPr>
      <w:r>
        <w:rPr>
          <w:rFonts w:hint="eastAsia" w:ascii="宋体" w:hAnsi="宋体" w:cs="宋体"/>
          <w:szCs w:val="21"/>
        </w:rPr>
        <w:t>4.3 采购代理机构如果要求投标人按照采购文件规定提交备选投标方案的，投标人可以提交备选方案；采购文件中未明确规定允许提交备选方案的，投标人不得提交备选方案，否则，备选方案将被拒绝。</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5.采购文件的澄清或者修改</w:t>
      </w:r>
    </w:p>
    <w:p>
      <w:pPr>
        <w:widowControl/>
        <w:shd w:val="clear" w:color="auto" w:fill="FFFFFF"/>
        <w:spacing w:line="360" w:lineRule="auto"/>
        <w:ind w:firstLine="420"/>
        <w:rPr>
          <w:rFonts w:ascii="宋体" w:hAnsi="宋体" w:cs="宋体"/>
          <w:szCs w:val="21"/>
        </w:rPr>
      </w:pPr>
      <w:r>
        <w:rPr>
          <w:rFonts w:hint="eastAsia" w:ascii="宋体" w:hAnsi="宋体" w:cs="宋体"/>
          <w:szCs w:val="21"/>
        </w:rPr>
        <w:t>5.1采购人或者采购代理机构可以对已发出的采购文件、招标公告进行必要的澄清或者修改，但不得改变采购标的和资格条件。澄清或者修改应当在原公告发布媒体上发布更正公告。更正内容将作为采购文件的组成部分，并对投标人具有约束力。</w:t>
      </w:r>
    </w:p>
    <w:p>
      <w:pPr>
        <w:widowControl/>
        <w:shd w:val="clear" w:color="auto" w:fill="FFFFFF"/>
        <w:spacing w:line="360" w:lineRule="auto"/>
        <w:ind w:firstLine="420"/>
        <w:rPr>
          <w:rFonts w:ascii="宋体" w:hAnsi="宋体" w:cs="宋体"/>
          <w:szCs w:val="21"/>
        </w:rPr>
      </w:pPr>
      <w:r>
        <w:rPr>
          <w:rFonts w:hint="eastAsia" w:ascii="宋体" w:hAnsi="宋体" w:cs="宋体"/>
          <w:szCs w:val="21"/>
        </w:rPr>
        <w:t>5.2 投标人应在提交投标文件截止时间前，关注原公告媒体有关本项目的更正公告，根据更正公告内容自行决定是否需要重新制作和提交投标文件，并承担由此产生的相应责任。</w:t>
      </w:r>
    </w:p>
    <w:p>
      <w:pPr>
        <w:widowControl/>
        <w:shd w:val="clear" w:color="auto" w:fill="FFFFFF"/>
        <w:spacing w:line="360" w:lineRule="auto"/>
        <w:ind w:firstLine="420"/>
        <w:rPr>
          <w:rFonts w:ascii="宋体" w:hAnsi="宋体" w:cs="宋体"/>
          <w:szCs w:val="21"/>
        </w:rPr>
      </w:pPr>
      <w:r>
        <w:rPr>
          <w:rFonts w:hint="eastAsia" w:ascii="宋体" w:hAnsi="宋体" w:cs="宋体"/>
          <w:szCs w:val="21"/>
        </w:rPr>
        <w:t>5.3 采购代理机构有权按照法律法规的要求推迟投标截止日期和开标日期，并在原公告媒体发布更正公告。</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三、投标文件的编制</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6.投标文件的语言、计量单位</w:t>
      </w:r>
    </w:p>
    <w:p>
      <w:pPr>
        <w:widowControl/>
        <w:shd w:val="clear" w:color="auto" w:fill="FFFFFF"/>
        <w:spacing w:line="360" w:lineRule="auto"/>
        <w:ind w:firstLine="420"/>
        <w:rPr>
          <w:rFonts w:ascii="宋体" w:hAnsi="宋体" w:cs="宋体"/>
          <w:szCs w:val="21"/>
        </w:rPr>
      </w:pPr>
      <w:r>
        <w:rPr>
          <w:rFonts w:hint="eastAsia" w:ascii="宋体" w:hAnsi="宋体" w:cs="宋体"/>
          <w:szCs w:val="21"/>
        </w:rPr>
        <w:t>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pPr>
        <w:widowControl/>
        <w:shd w:val="clear" w:color="auto" w:fill="FFFFFF"/>
        <w:spacing w:line="360" w:lineRule="auto"/>
        <w:ind w:firstLine="420"/>
        <w:rPr>
          <w:rFonts w:ascii="宋体" w:hAnsi="宋体" w:cs="宋体"/>
          <w:szCs w:val="21"/>
        </w:rPr>
      </w:pPr>
      <w:r>
        <w:rPr>
          <w:rFonts w:hint="eastAsia" w:ascii="宋体" w:hAnsi="宋体" w:cs="宋体"/>
          <w:szCs w:val="21"/>
        </w:rPr>
        <w:t>6.2 除技术性能另有规定外，投标文件所使用的度量衡单位，均须采用国家法定计量单位。</w:t>
      </w:r>
    </w:p>
    <w:p>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7.投标文件的组成</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7.1投标人编写的投标文件应包括资格条件证明文件、符合条件证明文件、开标一览表、响应及偏离表、其他证明文件、分项报价表等部分。</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7.2 如标书制作工具中格式和内容与“江苏政府采购网”发布的采购文件不一致，以“江苏政府采购网”发布的采购文件为准。</w:t>
      </w:r>
    </w:p>
    <w:p>
      <w:pPr>
        <w:widowControl/>
        <w:shd w:val="clear" w:color="auto" w:fill="FFFFFF"/>
        <w:spacing w:line="360" w:lineRule="auto"/>
        <w:ind w:firstLine="422"/>
        <w:rPr>
          <w:rFonts w:ascii="宋体" w:hAnsi="宋体" w:cs="宋体"/>
          <w:szCs w:val="21"/>
        </w:rPr>
      </w:pPr>
      <w:bookmarkStart w:id="47" w:name="_Toc14577357"/>
      <w:bookmarkStart w:id="48" w:name="_Toc49090507"/>
      <w:bookmarkStart w:id="49" w:name="_Toc49090509"/>
      <w:bookmarkStart w:id="50" w:name="_Toc513029216"/>
      <w:bookmarkStart w:id="51" w:name="_Toc513029219"/>
      <w:bookmarkStart w:id="52" w:name="_Toc14577354"/>
      <w:bookmarkStart w:id="53" w:name="_Hlk176530273"/>
      <w:r>
        <w:rPr>
          <w:rFonts w:hint="eastAsia" w:ascii="宋体" w:hAnsi="宋体" w:cs="宋体"/>
          <w:b/>
          <w:bCs/>
          <w:szCs w:val="21"/>
        </w:rPr>
        <w:t>8.证明投标人及投标标的符合采购文件规定的文件</w:t>
      </w:r>
      <w:bookmarkEnd w:id="47"/>
      <w:bookmarkEnd w:id="48"/>
      <w:bookmarkEnd w:id="49"/>
      <w:bookmarkEnd w:id="50"/>
      <w:bookmarkEnd w:id="51"/>
      <w:bookmarkEnd w:id="52"/>
    </w:p>
    <w:p>
      <w:pPr>
        <w:widowControl/>
        <w:shd w:val="clear" w:color="auto" w:fill="FFFFFF"/>
        <w:spacing w:line="360" w:lineRule="auto"/>
        <w:ind w:firstLine="420"/>
        <w:jc w:val="left"/>
        <w:rPr>
          <w:rFonts w:ascii="宋体" w:hAnsi="宋体" w:cs="宋体"/>
          <w:szCs w:val="21"/>
        </w:rPr>
      </w:pPr>
      <w:bookmarkStart w:id="54" w:name="_Toc14577355"/>
      <w:bookmarkStart w:id="55" w:name="_Toc49090508"/>
      <w:r>
        <w:rPr>
          <w:rFonts w:hint="eastAsia" w:ascii="宋体" w:hAnsi="宋体" w:cs="宋体"/>
          <w:szCs w:val="21"/>
        </w:rPr>
        <w:t>8.1 投标人应按照法律、法规、规章和规范性文件以及采购文件要求提交证明文件，证明其投标标的符合采购文件规定。</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8.2 采购文件对证明文件无明确形式要求的，证明文件可以以文字资料、图纸和数据等形式提交。</w:t>
      </w:r>
      <w:bookmarkEnd w:id="53"/>
      <w:bookmarkEnd w:id="54"/>
      <w:bookmarkEnd w:id="55"/>
    </w:p>
    <w:p>
      <w:pPr>
        <w:widowControl/>
        <w:shd w:val="clear" w:color="auto" w:fill="FFFFFF"/>
        <w:spacing w:line="360" w:lineRule="auto"/>
        <w:ind w:firstLine="422"/>
        <w:jc w:val="left"/>
        <w:rPr>
          <w:rFonts w:ascii="宋体" w:hAnsi="宋体" w:cs="宋体"/>
          <w:szCs w:val="21"/>
        </w:rPr>
      </w:pPr>
      <w:bookmarkStart w:id="56" w:name="_Hlt26954844"/>
      <w:bookmarkEnd w:id="56"/>
      <w:bookmarkStart w:id="57" w:name="_Hlt26670425"/>
      <w:bookmarkEnd w:id="57"/>
      <w:bookmarkStart w:id="58" w:name="_Hlt26954848"/>
      <w:bookmarkEnd w:id="58"/>
      <w:bookmarkStart w:id="59" w:name="_Hlt26670486"/>
      <w:bookmarkEnd w:id="59"/>
      <w:bookmarkStart w:id="60" w:name="_Hlt26668983"/>
      <w:bookmarkEnd w:id="60"/>
      <w:bookmarkStart w:id="61" w:name="_Hlt26670403"/>
      <w:bookmarkEnd w:id="61"/>
      <w:bookmarkStart w:id="62" w:name="_Hlt26670482"/>
      <w:bookmarkEnd w:id="62"/>
      <w:bookmarkStart w:id="63" w:name="_Hlt26954842"/>
      <w:bookmarkEnd w:id="63"/>
      <w:bookmarkStart w:id="64" w:name="_Hlt26954731"/>
      <w:bookmarkEnd w:id="64"/>
      <w:bookmarkStart w:id="65" w:name="_Hlt26954846"/>
      <w:bookmarkEnd w:id="65"/>
      <w:r>
        <w:rPr>
          <w:rFonts w:hint="eastAsia" w:ascii="宋体" w:hAnsi="宋体" w:cs="宋体"/>
          <w:b/>
          <w:bCs/>
          <w:szCs w:val="21"/>
        </w:rPr>
        <w:t>9. 投标货币</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9.1投标文件中的单价和总价无特殊规定的采用人民币报价，以元为单位标注。采购文件中另有规定的按规定执行。</w:t>
      </w:r>
    </w:p>
    <w:p>
      <w:pPr>
        <w:widowControl/>
        <w:shd w:val="clear" w:color="auto" w:fill="FFFFFF"/>
        <w:spacing w:line="360" w:lineRule="auto"/>
        <w:ind w:firstLine="422"/>
        <w:jc w:val="left"/>
        <w:rPr>
          <w:rFonts w:ascii="宋体" w:hAnsi="宋体" w:cs="宋体"/>
          <w:szCs w:val="21"/>
        </w:rPr>
      </w:pPr>
      <w:r>
        <w:rPr>
          <w:rFonts w:hint="eastAsia" w:ascii="宋体" w:hAnsi="宋体" w:cs="宋体"/>
          <w:b/>
          <w:bCs/>
          <w:szCs w:val="21"/>
        </w:rPr>
        <w:t>10.响应及偏离表</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10.1 投标人需对采购文件中的技术要求与商务要求逐项作出响应或偏离说明。</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10.2 投标人可以在投标文件中提供认为需要的其他技术文件或说明。</w:t>
      </w:r>
    </w:p>
    <w:p>
      <w:pPr>
        <w:widowControl/>
        <w:shd w:val="clear" w:color="auto" w:fill="FFFFFF"/>
        <w:spacing w:line="360" w:lineRule="auto"/>
        <w:ind w:firstLine="422"/>
        <w:jc w:val="left"/>
        <w:rPr>
          <w:rFonts w:ascii="宋体" w:hAnsi="宋体" w:cs="宋体"/>
          <w:szCs w:val="21"/>
        </w:rPr>
      </w:pPr>
      <w:bookmarkStart w:id="66" w:name="_Toc49090510"/>
      <w:bookmarkStart w:id="67" w:name="_Toc14577359"/>
      <w:r>
        <w:rPr>
          <w:rFonts w:hint="eastAsia" w:ascii="宋体" w:hAnsi="宋体" w:cs="宋体"/>
          <w:b/>
          <w:bCs/>
          <w:szCs w:val="21"/>
        </w:rPr>
        <w:t>11.</w:t>
      </w:r>
      <w:bookmarkStart w:id="68" w:name="OLE_LINK27"/>
      <w:r>
        <w:rPr>
          <w:rFonts w:hint="eastAsia" w:ascii="宋体" w:hAnsi="宋体" w:cs="宋体"/>
          <w:b/>
          <w:bCs/>
          <w:szCs w:val="21"/>
        </w:rPr>
        <w:t>投标函</w:t>
      </w:r>
      <w:bookmarkEnd w:id="68"/>
      <w:r>
        <w:rPr>
          <w:rFonts w:hint="eastAsia" w:ascii="宋体" w:hAnsi="宋体" w:cs="宋体"/>
          <w:b/>
          <w:bCs/>
          <w:szCs w:val="21"/>
        </w:rPr>
        <w:t>和开标一览表</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11.1 投标人应按照采购文件规定格式完整、正确填报投标函、开标一览表。</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 xml:space="preserve">11.2 </w:t>
      </w:r>
      <w:bookmarkStart w:id="69" w:name="_Hlk175667315"/>
      <w:r>
        <w:rPr>
          <w:rFonts w:hint="eastAsia" w:ascii="宋体" w:hAnsi="宋体" w:cs="宋体"/>
          <w:szCs w:val="21"/>
        </w:rPr>
        <w:t>对于采用货币报价的项目，开标一览表中的投标总价应与分项报价表中的投标总价一致，如不一致不作为无效投标处理，评标时以开标一览表中价格为准。</w:t>
      </w:r>
      <w:bookmarkEnd w:id="66"/>
      <w:bookmarkEnd w:id="67"/>
      <w:bookmarkEnd w:id="69"/>
    </w:p>
    <w:p>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12.投标保证金</w:t>
      </w:r>
    </w:p>
    <w:p>
      <w:pPr>
        <w:widowControl/>
        <w:shd w:val="clear" w:color="auto" w:fill="FFFFFF"/>
        <w:spacing w:line="360" w:lineRule="auto"/>
        <w:ind w:firstLine="420"/>
        <w:rPr>
          <w:rFonts w:ascii="宋体" w:hAnsi="宋体" w:cs="宋体"/>
          <w:b/>
          <w:bCs/>
          <w:szCs w:val="21"/>
        </w:rPr>
      </w:pPr>
      <w:r>
        <w:rPr>
          <w:rFonts w:hint="eastAsia" w:ascii="宋体" w:hAnsi="宋体" w:cs="宋体"/>
          <w:szCs w:val="21"/>
        </w:rPr>
        <w:t>12.1</w:t>
      </w:r>
      <w:bookmarkStart w:id="70" w:name="_Hlk68014334"/>
      <w:r>
        <w:rPr>
          <w:rFonts w:hint="eastAsia" w:ascii="宋体" w:hAnsi="宋体" w:cs="宋体"/>
          <w:bCs/>
          <w:szCs w:val="21"/>
        </w:rPr>
        <w:t>本项目不收取投标保证金。</w:t>
      </w:r>
      <w:bookmarkEnd w:id="70"/>
    </w:p>
    <w:p>
      <w:pPr>
        <w:widowControl/>
        <w:shd w:val="clear" w:color="auto" w:fill="FFFFFF"/>
        <w:spacing w:line="360" w:lineRule="auto"/>
        <w:ind w:firstLine="422"/>
        <w:rPr>
          <w:rFonts w:ascii="宋体" w:hAnsi="宋体" w:cs="宋体"/>
          <w:b/>
          <w:bCs/>
          <w:szCs w:val="21"/>
        </w:rPr>
      </w:pPr>
      <w:bookmarkStart w:id="71" w:name="_Hlk176182487"/>
      <w:r>
        <w:rPr>
          <w:rFonts w:hint="eastAsia" w:ascii="宋体" w:hAnsi="宋体" w:cs="宋体"/>
          <w:b/>
          <w:bCs/>
          <w:szCs w:val="21"/>
        </w:rPr>
        <w:t>13.投标有效期</w:t>
      </w:r>
    </w:p>
    <w:p>
      <w:pPr>
        <w:widowControl/>
        <w:shd w:val="clear" w:color="auto" w:fill="FFFFFF"/>
        <w:spacing w:line="360" w:lineRule="auto"/>
        <w:ind w:firstLine="420"/>
        <w:rPr>
          <w:rFonts w:ascii="宋体" w:hAnsi="宋体" w:cs="宋体"/>
          <w:szCs w:val="21"/>
        </w:rPr>
      </w:pPr>
      <w:r>
        <w:rPr>
          <w:rFonts w:hint="eastAsia" w:ascii="宋体" w:hAnsi="宋体" w:cs="宋体"/>
          <w:szCs w:val="21"/>
        </w:rPr>
        <w:t>13.1 自开标之日起90天内投标有效，投标有效期从提交投标文件的截止之日起算，投标文件中承诺的投标有效期应当不少于采购文件中载明的投标有效期。</w:t>
      </w:r>
    </w:p>
    <w:p>
      <w:pPr>
        <w:widowControl/>
        <w:shd w:val="clear" w:color="auto" w:fill="FFFFFF"/>
        <w:spacing w:line="360" w:lineRule="auto"/>
        <w:ind w:firstLine="420"/>
        <w:rPr>
          <w:rFonts w:ascii="宋体" w:hAnsi="宋体" w:cs="宋体"/>
          <w:szCs w:val="21"/>
        </w:rPr>
      </w:pPr>
      <w:r>
        <w:rPr>
          <w:rFonts w:hint="eastAsia" w:ascii="宋体" w:hAnsi="宋体" w:cs="宋体"/>
          <w:szCs w:val="21"/>
        </w:rPr>
        <w:t>13.2 特殊情况下，在原投标有效期截止之前，采购代理机构可要求投标人同意延长投标有效期，这种要求与答复均应以书面形式提交。</w:t>
      </w:r>
      <w:bookmarkStart w:id="72" w:name="OLE_LINK7"/>
      <w:r>
        <w:rPr>
          <w:rFonts w:hint="eastAsia" w:ascii="宋体" w:hAnsi="宋体" w:cs="宋体"/>
          <w:szCs w:val="21"/>
        </w:rPr>
        <w:t>投标人可以拒绝采购代理机构的这一要求而放弃投标</w:t>
      </w:r>
      <w:bookmarkEnd w:id="72"/>
      <w:r>
        <w:rPr>
          <w:rFonts w:hint="eastAsia" w:ascii="宋体" w:hAnsi="宋体" w:cs="宋体"/>
          <w:szCs w:val="21"/>
        </w:rPr>
        <w:t>。同意延长投标有效期的投标人既不能要求也不允许修改其投标文件，同时受投标有效期约束的所有权利与义务均延长至新的有效期满。</w:t>
      </w:r>
      <w:bookmarkEnd w:id="71"/>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14.投标费用</w:t>
      </w:r>
    </w:p>
    <w:p>
      <w:pPr>
        <w:widowControl/>
        <w:shd w:val="clear" w:color="auto" w:fill="FFFFFF"/>
        <w:spacing w:line="360" w:lineRule="auto"/>
        <w:ind w:firstLine="420"/>
        <w:rPr>
          <w:rFonts w:ascii="宋体" w:hAnsi="宋体" w:cs="宋体"/>
          <w:szCs w:val="21"/>
        </w:rPr>
      </w:pPr>
      <w:r>
        <w:rPr>
          <w:rFonts w:hint="eastAsia" w:ascii="宋体" w:hAnsi="宋体" w:cs="宋体"/>
          <w:szCs w:val="21"/>
        </w:rPr>
        <w:t>14.1 投标人应承担所有与准备和参加投标有关的费用，无论采购结果如何，采购代理机构和采购人在任何情况下均无义务和责任承担这些费用。</w:t>
      </w:r>
    </w:p>
    <w:p>
      <w:pPr>
        <w:widowControl/>
        <w:shd w:val="clear" w:color="auto" w:fill="FFFFFF"/>
        <w:spacing w:line="360" w:lineRule="auto"/>
        <w:ind w:firstLine="422"/>
        <w:rPr>
          <w:rFonts w:ascii="宋体" w:hAnsi="宋体" w:cs="宋体"/>
          <w:b/>
          <w:szCs w:val="21"/>
        </w:rPr>
      </w:pPr>
      <w:r>
        <w:rPr>
          <w:rFonts w:hint="eastAsia" w:ascii="宋体" w:hAnsi="宋体" w:cs="宋体"/>
          <w:b/>
          <w:szCs w:val="21"/>
        </w:rPr>
        <w:t>14.2</w:t>
      </w:r>
      <w:bookmarkStart w:id="73" w:name="_Hlk75346033"/>
      <w:r>
        <w:rPr>
          <w:rFonts w:hint="eastAsia" w:ascii="宋体" w:hAnsi="宋体" w:cs="宋体"/>
          <w:b/>
          <w:szCs w:val="21"/>
        </w:rPr>
        <w:t xml:space="preserve"> </w:t>
      </w:r>
      <w:bookmarkStart w:id="74" w:name="_Hlk75346060"/>
      <w:r>
        <w:rPr>
          <w:rFonts w:hint="eastAsia" w:ascii="宋体" w:hAnsi="宋体" w:cs="宋体"/>
          <w:b/>
          <w:szCs w:val="21"/>
        </w:rPr>
        <w:t>采购代理服务费</w:t>
      </w:r>
      <w:bookmarkEnd w:id="73"/>
      <w:bookmarkEnd w:id="74"/>
    </w:p>
    <w:p>
      <w:pPr>
        <w:widowControl/>
        <w:shd w:val="clear" w:color="auto" w:fill="FFFFFF"/>
        <w:spacing w:line="360" w:lineRule="auto"/>
        <w:ind w:firstLine="422"/>
        <w:rPr>
          <w:rFonts w:ascii="Arial" w:hAnsi="Arial"/>
          <w:color w:val="000000"/>
          <w:szCs w:val="21"/>
          <w:lang w:val="zh-CN"/>
        </w:rPr>
      </w:pPr>
      <w:r>
        <w:rPr>
          <w:rFonts w:hint="eastAsia" w:ascii="Arial" w:hAnsi="Arial"/>
          <w:color w:val="000000"/>
          <w:szCs w:val="21"/>
          <w:lang w:val="zh-CN"/>
        </w:rPr>
        <w:t>本次招标，招标代理服务费由成交人支付（暂定2000元，为不可竞争）。实际发生参照《招标代理服务费管理暂行办法》(国家发展计划委员会计价格【2002】1980号)代理服务招标收费标准的30%计取，计算基准值为投标总价。以上费用由成交人在领取成交通知书前一次性向招标代理机构支付招标服务费。以上费用按暂定2000元单独列项。</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四、投标文件的提交</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15.投标文件的提交</w:t>
      </w:r>
    </w:p>
    <w:p>
      <w:pPr>
        <w:widowControl/>
        <w:shd w:val="clear" w:color="auto" w:fill="FFFFFF"/>
        <w:spacing w:line="360" w:lineRule="auto"/>
        <w:ind w:firstLine="420"/>
        <w:rPr>
          <w:rFonts w:ascii="宋体" w:hAnsi="宋体" w:cs="宋体"/>
          <w:szCs w:val="21"/>
        </w:rPr>
      </w:pPr>
      <w:bookmarkStart w:id="75" w:name="OLE_LINK1"/>
      <w:r>
        <w:rPr>
          <w:rFonts w:hint="eastAsia" w:ascii="宋体" w:hAnsi="宋体" w:cs="宋体"/>
          <w:szCs w:val="21"/>
        </w:rPr>
        <w:t>15.1 投标人应当按照《操作手册》规定，在招标公告规定的投标截止时间前制作并上传电子投标文件。</w:t>
      </w:r>
    </w:p>
    <w:p>
      <w:pPr>
        <w:widowControl/>
        <w:shd w:val="clear" w:color="auto" w:fill="FFFFFF"/>
        <w:spacing w:line="360" w:lineRule="auto"/>
        <w:ind w:firstLine="420"/>
        <w:rPr>
          <w:rFonts w:ascii="宋体" w:hAnsi="宋体" w:cs="宋体"/>
          <w:szCs w:val="21"/>
        </w:rPr>
      </w:pPr>
      <w:r>
        <w:rPr>
          <w:rFonts w:hint="eastAsia" w:ascii="宋体" w:hAnsi="宋体" w:cs="宋体"/>
          <w:szCs w:val="21"/>
        </w:rPr>
        <w:t>15.2 投标人应充分考虑网络环境、网络带宽等因素可能对投标产生的影响，如因投标人自身原因造成的电子投标文件上传不成功的，按照本采购文件第二章第20.2.3.1条规定做无效投标处理。</w:t>
      </w:r>
    </w:p>
    <w:p>
      <w:pPr>
        <w:widowControl/>
        <w:shd w:val="clear" w:color="auto" w:fill="FFFFFF"/>
        <w:spacing w:line="360" w:lineRule="auto"/>
        <w:ind w:firstLine="420"/>
        <w:rPr>
          <w:rFonts w:ascii="宋体" w:hAnsi="宋体" w:cs="宋体"/>
          <w:szCs w:val="21"/>
        </w:rPr>
      </w:pPr>
      <w:r>
        <w:rPr>
          <w:rFonts w:hint="eastAsia" w:ascii="宋体" w:hAnsi="宋体" w:cs="宋体"/>
          <w:szCs w:val="21"/>
        </w:rPr>
        <w:t>15.3 采购代理机构可以按照规定，通过修改采购文件酌情延长投标截止时间，在此情况下，投标人的所有权利和义务均以延长后新的截止时间为准。</w:t>
      </w:r>
      <w:bookmarkEnd w:id="75"/>
    </w:p>
    <w:p>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16.投标文件的拒收</w:t>
      </w:r>
    </w:p>
    <w:p>
      <w:pPr>
        <w:widowControl/>
        <w:shd w:val="clear" w:color="auto" w:fill="FFFFFF"/>
        <w:spacing w:line="360" w:lineRule="auto"/>
        <w:ind w:firstLine="420"/>
        <w:rPr>
          <w:rFonts w:ascii="宋体" w:hAnsi="宋体" w:cs="宋体"/>
          <w:szCs w:val="21"/>
        </w:rPr>
      </w:pPr>
      <w:r>
        <w:rPr>
          <w:rFonts w:hint="eastAsia" w:ascii="宋体" w:hAnsi="宋体" w:cs="宋体"/>
          <w:szCs w:val="21"/>
        </w:rPr>
        <w:t>16.1 采购代理机构拒绝接收投标截止时间后上传的任何投标文件。</w:t>
      </w:r>
    </w:p>
    <w:p>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17.投标文件的撤回和修改</w:t>
      </w:r>
    </w:p>
    <w:p>
      <w:pPr>
        <w:widowControl/>
        <w:shd w:val="clear" w:color="auto" w:fill="FFFFFF"/>
        <w:spacing w:line="360" w:lineRule="auto"/>
        <w:ind w:firstLine="420"/>
        <w:rPr>
          <w:rFonts w:ascii="宋体" w:hAnsi="宋体" w:cs="宋体"/>
          <w:szCs w:val="21"/>
        </w:rPr>
      </w:pPr>
      <w:r>
        <w:rPr>
          <w:rFonts w:hint="eastAsia" w:ascii="宋体" w:hAnsi="宋体" w:cs="宋体"/>
          <w:szCs w:val="21"/>
        </w:rPr>
        <w:t>17.1 投标文件的撤回</w:t>
      </w:r>
    </w:p>
    <w:p>
      <w:pPr>
        <w:widowControl/>
        <w:shd w:val="clear" w:color="auto" w:fill="FFFFFF"/>
        <w:spacing w:line="360" w:lineRule="auto"/>
        <w:ind w:firstLine="420"/>
        <w:rPr>
          <w:rFonts w:ascii="宋体" w:hAnsi="宋体" w:cs="宋体"/>
          <w:szCs w:val="21"/>
        </w:rPr>
      </w:pPr>
      <w:r>
        <w:rPr>
          <w:rFonts w:hint="eastAsia" w:ascii="宋体" w:hAnsi="宋体" w:cs="宋体"/>
          <w:szCs w:val="21"/>
        </w:rPr>
        <w:t>17.1.1 投标人可在投标截止时间前撤回其电子投标文件，具体操作方法见《操作手册》。</w:t>
      </w:r>
    </w:p>
    <w:p>
      <w:pPr>
        <w:widowControl/>
        <w:shd w:val="clear" w:color="auto" w:fill="FFFFFF"/>
        <w:spacing w:line="360" w:lineRule="auto"/>
        <w:ind w:firstLine="420"/>
        <w:rPr>
          <w:rFonts w:ascii="宋体" w:hAnsi="宋体" w:cs="宋体"/>
          <w:szCs w:val="21"/>
        </w:rPr>
      </w:pPr>
      <w:r>
        <w:rPr>
          <w:rFonts w:hint="eastAsia" w:ascii="宋体" w:hAnsi="宋体" w:cs="宋体"/>
          <w:szCs w:val="21"/>
        </w:rPr>
        <w:t>17.1.2 投标人撤回电子投标文件，则认为其不再参与本项目投标活动。</w:t>
      </w:r>
    </w:p>
    <w:p>
      <w:pPr>
        <w:widowControl/>
        <w:shd w:val="clear" w:color="auto" w:fill="FFFFFF"/>
        <w:spacing w:line="360" w:lineRule="auto"/>
        <w:ind w:firstLine="420"/>
        <w:rPr>
          <w:rFonts w:ascii="宋体" w:hAnsi="宋体" w:cs="宋体"/>
          <w:szCs w:val="21"/>
        </w:rPr>
      </w:pPr>
      <w:r>
        <w:rPr>
          <w:rFonts w:hint="eastAsia" w:ascii="宋体" w:hAnsi="宋体" w:cs="宋体"/>
          <w:szCs w:val="21"/>
        </w:rPr>
        <w:t>17.2 投标文件的修改</w:t>
      </w:r>
    </w:p>
    <w:p>
      <w:pPr>
        <w:widowControl/>
        <w:shd w:val="clear" w:color="auto" w:fill="FFFFFF"/>
        <w:spacing w:line="360" w:lineRule="auto"/>
        <w:ind w:firstLine="420"/>
        <w:rPr>
          <w:rFonts w:ascii="宋体" w:hAnsi="宋体" w:cs="宋体"/>
          <w:szCs w:val="21"/>
        </w:rPr>
      </w:pPr>
      <w:r>
        <w:rPr>
          <w:rFonts w:hint="eastAsia" w:ascii="宋体" w:hAnsi="宋体" w:cs="宋体"/>
          <w:szCs w:val="21"/>
        </w:rPr>
        <w:t>17.2.1 投标人可在投标截止时间前对其电子投标文件进行修改，具体操作方法见《操作手册》。</w:t>
      </w:r>
    </w:p>
    <w:p>
      <w:pPr>
        <w:widowControl/>
        <w:shd w:val="clear" w:color="auto" w:fill="FFFFFF"/>
        <w:spacing w:line="360" w:lineRule="auto"/>
        <w:ind w:firstLine="420"/>
        <w:rPr>
          <w:rFonts w:ascii="宋体" w:hAnsi="宋体" w:cs="宋体"/>
          <w:szCs w:val="21"/>
        </w:rPr>
      </w:pPr>
      <w:r>
        <w:rPr>
          <w:rFonts w:hint="eastAsia" w:ascii="宋体" w:hAnsi="宋体" w:cs="宋体"/>
          <w:szCs w:val="21"/>
        </w:rPr>
        <w:t>17.2.2 投标截止时间之后，投标人不得对其电子投标文件作任何修改。</w:t>
      </w:r>
    </w:p>
    <w:p>
      <w:pPr>
        <w:widowControl/>
        <w:shd w:val="clear" w:color="auto" w:fill="FFFFFF"/>
        <w:spacing w:line="360" w:lineRule="auto"/>
        <w:ind w:firstLine="420"/>
        <w:rPr>
          <w:rFonts w:ascii="宋体" w:hAnsi="宋体" w:cs="宋体"/>
          <w:szCs w:val="21"/>
        </w:rPr>
      </w:pPr>
      <w:r>
        <w:rPr>
          <w:rFonts w:hint="eastAsia" w:ascii="宋体" w:hAnsi="宋体" w:cs="宋体"/>
          <w:szCs w:val="21"/>
        </w:rPr>
        <w:t>17.3 在投标截止时间至采购文件中规定的投标有效期满之间的这段时间内，投标人不得撤回其投标。</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18.诚实信用</w:t>
      </w:r>
    </w:p>
    <w:p>
      <w:pPr>
        <w:widowControl/>
        <w:shd w:val="clear" w:color="auto" w:fill="FFFFFF"/>
        <w:spacing w:line="360" w:lineRule="auto"/>
        <w:ind w:firstLine="420"/>
        <w:rPr>
          <w:rFonts w:ascii="宋体" w:hAnsi="宋体" w:cs="宋体"/>
          <w:szCs w:val="21"/>
        </w:rPr>
      </w:pPr>
      <w:r>
        <w:rPr>
          <w:rFonts w:hint="eastAsia" w:ascii="宋体" w:hAnsi="宋体" w:cs="宋体"/>
          <w:szCs w:val="21"/>
        </w:rPr>
        <w:t>18.1投标人应当遵循公平竞争的原则，不得恶意串通，不得妨碍其他投标人的竞争行为，不得损害采购人或者其他投标人的合法权益。</w:t>
      </w:r>
    </w:p>
    <w:p>
      <w:pPr>
        <w:widowControl/>
        <w:shd w:val="clear" w:color="auto" w:fill="FFFFFF"/>
        <w:spacing w:line="360" w:lineRule="auto"/>
        <w:ind w:firstLine="420"/>
        <w:rPr>
          <w:rFonts w:ascii="宋体" w:hAnsi="宋体" w:cs="宋体"/>
          <w:szCs w:val="21"/>
        </w:rPr>
      </w:pPr>
      <w:r>
        <w:rPr>
          <w:rFonts w:hint="eastAsia" w:ascii="宋体" w:hAnsi="宋体" w:cs="宋体"/>
          <w:szCs w:val="21"/>
        </w:rPr>
        <w:t>18.2在评标过程中发现投标人有上述情形的，评标委员会应当认定其投标无效，并书面报告本级财政部门。</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五、开标、评标与定标</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19.开标</w:t>
      </w:r>
    </w:p>
    <w:p>
      <w:pPr>
        <w:widowControl/>
        <w:shd w:val="clear" w:color="auto" w:fill="FFFFFF"/>
        <w:spacing w:line="360" w:lineRule="auto"/>
        <w:ind w:firstLine="420"/>
        <w:rPr>
          <w:rFonts w:ascii="宋体" w:hAnsi="宋体" w:cs="宋体"/>
          <w:szCs w:val="21"/>
        </w:rPr>
      </w:pPr>
      <w:r>
        <w:rPr>
          <w:rFonts w:hint="eastAsia" w:ascii="宋体" w:hAnsi="宋体" w:cs="宋体"/>
          <w:szCs w:val="21"/>
        </w:rPr>
        <w:t>19.1 采购代理机构在招标公告中规定的时间和地点组织公开开标。投标人按照《操作手册》规定参加开标活动，并在苏采云系统规定的时间内对投标文件进行解密。苏采云系统公布各投标人名称和投标价格。</w:t>
      </w:r>
    </w:p>
    <w:p>
      <w:pPr>
        <w:widowControl/>
        <w:shd w:val="clear" w:color="auto" w:fill="FFFFFF"/>
        <w:spacing w:line="360" w:lineRule="auto"/>
        <w:ind w:firstLine="420"/>
        <w:rPr>
          <w:rFonts w:ascii="宋体" w:hAnsi="宋体" w:cs="宋体"/>
          <w:szCs w:val="21"/>
        </w:rPr>
      </w:pPr>
      <w:r>
        <w:rPr>
          <w:rFonts w:hint="eastAsia" w:ascii="宋体" w:hAnsi="宋体" w:cs="宋体"/>
          <w:szCs w:val="21"/>
        </w:rPr>
        <w:t>19.2 投标人在开标过程中涉及到的投标文件解密、开标结果确认等工作，应按照《操作手册》规定执行。</w:t>
      </w:r>
    </w:p>
    <w:p>
      <w:pPr>
        <w:spacing w:line="360" w:lineRule="auto"/>
        <w:ind w:firstLine="420"/>
        <w:rPr>
          <w:rFonts w:ascii="宋体" w:hAnsi="宋体" w:cs="宋体"/>
          <w:bCs/>
          <w:szCs w:val="21"/>
        </w:rPr>
      </w:pPr>
      <w:r>
        <w:rPr>
          <w:rFonts w:hint="eastAsia" w:ascii="宋体" w:hAnsi="宋体" w:cs="宋体"/>
          <w:szCs w:val="21"/>
        </w:rPr>
        <w:t>19.3 投标人如果对开标过程和开标结果有疑义，应当根据《操作手册》规定提出，苏采云系统中《开标一览表》公布后5分钟内未提出的，视同认可开标结果。</w:t>
      </w:r>
      <w:bookmarkStart w:id="76" w:name="_Hlk44576482"/>
      <w:bookmarkEnd w:id="76"/>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 xml:space="preserve">20.评标 </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 xml:space="preserve">20.1 评标委员会 </w:t>
      </w:r>
    </w:p>
    <w:p>
      <w:pPr>
        <w:widowControl/>
        <w:shd w:val="clear" w:color="auto" w:fill="FFFFFF"/>
        <w:spacing w:line="360" w:lineRule="auto"/>
        <w:ind w:firstLine="420"/>
        <w:rPr>
          <w:rFonts w:ascii="宋体" w:hAnsi="宋体" w:cs="宋体"/>
          <w:szCs w:val="21"/>
        </w:rPr>
      </w:pPr>
      <w:r>
        <w:rPr>
          <w:rFonts w:hint="eastAsia" w:ascii="宋体" w:hAnsi="宋体" w:cs="宋体"/>
          <w:szCs w:val="21"/>
        </w:rPr>
        <w:t>20.1.1评标委员会负责具体评标事务，并独立履行下列职责：</w:t>
      </w:r>
    </w:p>
    <w:p>
      <w:pPr>
        <w:widowControl/>
        <w:shd w:val="clear" w:color="auto" w:fill="FFFFFF"/>
        <w:spacing w:line="360" w:lineRule="auto"/>
        <w:ind w:firstLine="420"/>
        <w:rPr>
          <w:rFonts w:ascii="宋体" w:hAnsi="宋体" w:cs="宋体"/>
          <w:bCs/>
          <w:szCs w:val="21"/>
        </w:rPr>
      </w:pPr>
      <w:r>
        <w:rPr>
          <w:rFonts w:hint="eastAsia" w:ascii="宋体" w:hAnsi="宋体" w:cs="宋体"/>
          <w:bCs/>
          <w:szCs w:val="21"/>
        </w:rPr>
        <w:t>（1）审查、评价投标文件是否符合采购文件的商务、技术等实质性要求；</w:t>
      </w:r>
    </w:p>
    <w:p>
      <w:pPr>
        <w:widowControl/>
        <w:shd w:val="clear" w:color="auto" w:fill="FFFFFF"/>
        <w:spacing w:line="360" w:lineRule="auto"/>
        <w:ind w:firstLine="420"/>
        <w:rPr>
          <w:rFonts w:ascii="宋体" w:hAnsi="宋体" w:cs="宋体"/>
          <w:bCs/>
          <w:szCs w:val="21"/>
        </w:rPr>
      </w:pPr>
      <w:r>
        <w:rPr>
          <w:rFonts w:hint="eastAsia" w:ascii="宋体" w:hAnsi="宋体" w:cs="宋体"/>
          <w:bCs/>
          <w:szCs w:val="21"/>
        </w:rPr>
        <w:t>（2）要求投标人对投标文件有关事项作出澄清或者说明；</w:t>
      </w:r>
    </w:p>
    <w:p>
      <w:pPr>
        <w:widowControl/>
        <w:shd w:val="clear" w:color="auto" w:fill="FFFFFF"/>
        <w:spacing w:line="360" w:lineRule="auto"/>
        <w:ind w:firstLine="420"/>
        <w:rPr>
          <w:rFonts w:ascii="宋体" w:hAnsi="宋体" w:cs="宋体"/>
          <w:bCs/>
          <w:szCs w:val="21"/>
        </w:rPr>
      </w:pPr>
      <w:r>
        <w:rPr>
          <w:rFonts w:hint="eastAsia" w:ascii="宋体" w:hAnsi="宋体" w:cs="宋体"/>
          <w:bCs/>
          <w:szCs w:val="21"/>
        </w:rPr>
        <w:t>（3）对投标文件进行比较和评价；</w:t>
      </w:r>
    </w:p>
    <w:p>
      <w:pPr>
        <w:widowControl/>
        <w:shd w:val="clear" w:color="auto" w:fill="FFFFFF"/>
        <w:spacing w:line="360" w:lineRule="auto"/>
        <w:ind w:firstLine="420"/>
        <w:rPr>
          <w:rFonts w:ascii="宋体" w:hAnsi="宋体" w:cs="宋体"/>
          <w:bCs/>
          <w:szCs w:val="21"/>
        </w:rPr>
      </w:pPr>
      <w:r>
        <w:rPr>
          <w:rFonts w:hint="eastAsia" w:ascii="宋体" w:hAnsi="宋体" w:cs="宋体"/>
          <w:bCs/>
          <w:szCs w:val="21"/>
        </w:rPr>
        <w:t>（4）确定中标候选人名单，以及根据采购人委托直接确定中标人；</w:t>
      </w:r>
    </w:p>
    <w:p>
      <w:pPr>
        <w:widowControl/>
        <w:shd w:val="clear" w:color="auto" w:fill="FFFFFF"/>
        <w:spacing w:line="360" w:lineRule="auto"/>
        <w:ind w:firstLine="420"/>
        <w:rPr>
          <w:rFonts w:ascii="宋体" w:hAnsi="宋体" w:cs="宋体"/>
          <w:szCs w:val="21"/>
        </w:rPr>
      </w:pPr>
      <w:r>
        <w:rPr>
          <w:rFonts w:hint="eastAsia" w:ascii="宋体" w:hAnsi="宋体" w:cs="宋体"/>
          <w:bCs/>
          <w:szCs w:val="21"/>
        </w:rPr>
        <w:t>（5）向采购人、采购代理机构或者有关部门报告评标中发现的违法行为。</w:t>
      </w:r>
    </w:p>
    <w:p>
      <w:pPr>
        <w:widowControl/>
        <w:shd w:val="clear" w:color="auto" w:fill="FFFFFF"/>
        <w:spacing w:line="360" w:lineRule="auto"/>
        <w:ind w:firstLine="420"/>
        <w:rPr>
          <w:rFonts w:ascii="宋体" w:hAnsi="宋体" w:cs="宋体"/>
          <w:szCs w:val="21"/>
        </w:rPr>
      </w:pPr>
      <w:r>
        <w:rPr>
          <w:rFonts w:hint="eastAsia" w:ascii="宋体" w:hAnsi="宋体" w:cs="宋体"/>
          <w:szCs w:val="21"/>
        </w:rPr>
        <w:t>20.1.2 评标委员会由采购人代表和有关技术、经济等方面的专家组成，独立开展评审工作。</w:t>
      </w:r>
    </w:p>
    <w:p>
      <w:pPr>
        <w:widowControl/>
        <w:shd w:val="clear" w:color="auto" w:fill="FFFFFF"/>
        <w:spacing w:line="360" w:lineRule="auto"/>
        <w:ind w:firstLine="422"/>
        <w:jc w:val="left"/>
        <w:rPr>
          <w:rFonts w:ascii="宋体" w:hAnsi="宋体" w:cs="宋体"/>
          <w:b/>
          <w:bCs/>
          <w:szCs w:val="21"/>
        </w:rPr>
      </w:pPr>
      <w:r>
        <w:rPr>
          <w:rFonts w:hint="eastAsia" w:ascii="宋体" w:hAnsi="宋体" w:cs="宋体"/>
          <w:b/>
          <w:bCs/>
          <w:szCs w:val="21"/>
        </w:rPr>
        <w:t>20.2  评标程序</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20.2.1投标文件审查分为资格审查和符合性审查。</w:t>
      </w:r>
    </w:p>
    <w:p>
      <w:pPr>
        <w:tabs>
          <w:tab w:val="left" w:pos="4825"/>
        </w:tabs>
        <w:spacing w:line="360" w:lineRule="auto"/>
        <w:ind w:firstLine="422"/>
        <w:jc w:val="left"/>
        <w:rPr>
          <w:rFonts w:ascii="宋体" w:hAnsi="宋体" w:cs="宋体"/>
          <w:b/>
          <w:bCs/>
          <w:szCs w:val="21"/>
        </w:rPr>
      </w:pPr>
      <w:r>
        <w:rPr>
          <w:rFonts w:hint="eastAsia" w:ascii="宋体" w:hAnsi="宋体" w:cs="宋体"/>
          <w:b/>
          <w:bCs/>
          <w:szCs w:val="21"/>
        </w:rPr>
        <w:t>20.2.2投标文件的资格审查</w:t>
      </w:r>
    </w:p>
    <w:p>
      <w:pPr>
        <w:tabs>
          <w:tab w:val="left" w:pos="4825"/>
        </w:tabs>
        <w:spacing w:line="360" w:lineRule="auto"/>
        <w:ind w:firstLine="420"/>
        <w:jc w:val="left"/>
        <w:rPr>
          <w:rFonts w:ascii="宋体" w:hAnsi="宋体" w:cs="宋体"/>
          <w:szCs w:val="21"/>
        </w:rPr>
      </w:pPr>
      <w:bookmarkStart w:id="77" w:name="_Hlk81573923"/>
      <w:bookmarkStart w:id="78" w:name="_Hlk84583325"/>
      <w:r>
        <w:rPr>
          <w:rFonts w:hint="eastAsia" w:ascii="宋体" w:hAnsi="宋体" w:cs="宋体"/>
          <w:szCs w:val="21"/>
        </w:rPr>
        <w:t>资格审查：依据法律法规和采购文件规定，由</w:t>
      </w:r>
      <w:bookmarkStart w:id="79" w:name="OLE_LINK6"/>
      <w:r>
        <w:rPr>
          <w:rFonts w:hint="eastAsia" w:ascii="宋体" w:hAnsi="宋体" w:cs="宋体"/>
          <w:szCs w:val="21"/>
        </w:rPr>
        <w:t>采购人或采购代理机构</w:t>
      </w:r>
      <w:bookmarkEnd w:id="79"/>
      <w:r>
        <w:rPr>
          <w:rFonts w:hint="eastAsia" w:ascii="宋体" w:hAnsi="宋体" w:cs="宋体"/>
          <w:szCs w:val="21"/>
        </w:rPr>
        <w:t>对投标文件中的资格证明文件进行审查，并向评标委员会反馈审查结论。</w:t>
      </w:r>
      <w:bookmarkEnd w:id="77"/>
    </w:p>
    <w:p>
      <w:pPr>
        <w:tabs>
          <w:tab w:val="left" w:pos="4825"/>
        </w:tabs>
        <w:spacing w:line="360" w:lineRule="auto"/>
        <w:ind w:firstLine="422"/>
        <w:jc w:val="left"/>
        <w:rPr>
          <w:rFonts w:ascii="宋体" w:hAnsi="宋体" w:cs="宋体"/>
          <w:b/>
          <w:szCs w:val="21"/>
        </w:rPr>
      </w:pPr>
      <w:r>
        <w:rPr>
          <w:rFonts w:hint="eastAsia" w:ascii="宋体" w:hAnsi="宋体" w:cs="宋体"/>
          <w:b/>
          <w:szCs w:val="21"/>
        </w:rPr>
        <w:t>20.2.2.1投标文件有下列情况之一的，在资格审查时按照无效投标处理：</w:t>
      </w:r>
    </w:p>
    <w:p>
      <w:pPr>
        <w:tabs>
          <w:tab w:val="left" w:pos="4825"/>
        </w:tabs>
        <w:spacing w:line="360" w:lineRule="auto"/>
        <w:ind w:firstLine="420"/>
        <w:jc w:val="left"/>
        <w:rPr>
          <w:rFonts w:ascii="宋体" w:hAnsi="宋体" w:cs="宋体"/>
          <w:szCs w:val="21"/>
        </w:rPr>
      </w:pPr>
      <w:bookmarkStart w:id="80" w:name="_Hlk81314966"/>
      <w:bookmarkStart w:id="81" w:name="_Hlk81573945"/>
      <w:r>
        <w:rPr>
          <w:rFonts w:hint="eastAsia" w:ascii="宋体" w:hAnsi="宋体" w:cs="宋体"/>
          <w:szCs w:val="21"/>
        </w:rPr>
        <w:t>（1）不具备采购文件中规定资格条件的；</w:t>
      </w:r>
      <w:bookmarkEnd w:id="80"/>
    </w:p>
    <w:bookmarkEnd w:id="78"/>
    <w:bookmarkEnd w:id="81"/>
    <w:p>
      <w:pPr>
        <w:tabs>
          <w:tab w:val="left" w:pos="4825"/>
        </w:tabs>
        <w:spacing w:line="360" w:lineRule="auto"/>
        <w:ind w:firstLine="422"/>
        <w:jc w:val="left"/>
        <w:rPr>
          <w:rFonts w:ascii="宋体" w:hAnsi="宋体" w:cs="宋体"/>
          <w:b/>
          <w:szCs w:val="21"/>
        </w:rPr>
      </w:pPr>
      <w:r>
        <w:rPr>
          <w:rFonts w:hint="eastAsia" w:ascii="宋体" w:hAnsi="宋体" w:cs="宋体"/>
          <w:b/>
          <w:szCs w:val="21"/>
        </w:rPr>
        <w:t>20.2.3投标文件的符合性检查</w:t>
      </w:r>
    </w:p>
    <w:p>
      <w:pPr>
        <w:tabs>
          <w:tab w:val="left" w:pos="4825"/>
        </w:tabs>
        <w:spacing w:line="360" w:lineRule="auto"/>
        <w:ind w:firstLine="420"/>
        <w:jc w:val="left"/>
        <w:rPr>
          <w:rFonts w:ascii="宋体" w:hAnsi="宋体" w:cs="宋体"/>
          <w:szCs w:val="21"/>
        </w:rPr>
      </w:pPr>
      <w:r>
        <w:rPr>
          <w:rFonts w:hint="eastAsia" w:ascii="宋体" w:hAnsi="宋体" w:cs="宋体"/>
          <w:szCs w:val="21"/>
        </w:rPr>
        <w:t>（1）评标委员会将依据法律法规和采购文件的规定，对投标文件的有效性完整性和对采购文件的响应程度进行审查，以确定是否对采购文件的实质性要求作出响应。</w:t>
      </w:r>
    </w:p>
    <w:p>
      <w:pPr>
        <w:tabs>
          <w:tab w:val="left" w:pos="4825"/>
        </w:tabs>
        <w:spacing w:line="360" w:lineRule="auto"/>
        <w:ind w:firstLine="422"/>
        <w:jc w:val="left"/>
        <w:rPr>
          <w:rFonts w:ascii="宋体" w:hAnsi="宋体" w:cs="宋体"/>
          <w:b/>
          <w:bCs/>
          <w:szCs w:val="21"/>
        </w:rPr>
      </w:pPr>
      <w:r>
        <w:rPr>
          <w:rFonts w:hint="eastAsia" w:ascii="宋体" w:hAnsi="宋体" w:cs="宋体"/>
          <w:b/>
          <w:bCs/>
          <w:szCs w:val="21"/>
        </w:rPr>
        <w:t>（2）</w:t>
      </w:r>
      <w:bookmarkStart w:id="82" w:name="_Hlk176530503"/>
      <w:r>
        <w:rPr>
          <w:rFonts w:hint="eastAsia" w:ascii="宋体" w:hAnsi="宋体" w:cs="宋体"/>
          <w:b/>
          <w:bCs/>
          <w:szCs w:val="21"/>
        </w:rPr>
        <w:t>实质性要求是指本</w:t>
      </w:r>
      <w:bookmarkStart w:id="83" w:name="OLE_LINK36"/>
      <w:r>
        <w:rPr>
          <w:rFonts w:hint="eastAsia" w:ascii="宋体" w:hAnsi="宋体" w:cs="宋体"/>
          <w:b/>
          <w:bCs/>
          <w:szCs w:val="21"/>
        </w:rPr>
        <w:t>采购文件</w:t>
      </w:r>
      <w:bookmarkStart w:id="84" w:name="OLE_LINK9"/>
      <w:r>
        <w:rPr>
          <w:rFonts w:hint="eastAsia" w:ascii="宋体" w:hAnsi="宋体" w:cs="宋体"/>
          <w:b/>
          <w:bCs/>
          <w:szCs w:val="21"/>
        </w:rPr>
        <w:t>中斜体且有下划线部分，或者打“★”“*”</w:t>
      </w:r>
      <w:bookmarkEnd w:id="84"/>
      <w:r>
        <w:rPr>
          <w:rFonts w:hint="eastAsia" w:ascii="宋体" w:hAnsi="宋体" w:cs="宋体"/>
          <w:b/>
          <w:bCs/>
          <w:szCs w:val="21"/>
        </w:rPr>
        <w:t>等其他文字说明的商务和技术要求。</w:t>
      </w:r>
      <w:bookmarkEnd w:id="82"/>
    </w:p>
    <w:p>
      <w:pPr>
        <w:tabs>
          <w:tab w:val="left" w:pos="4825"/>
        </w:tabs>
        <w:spacing w:line="360" w:lineRule="auto"/>
        <w:ind w:firstLine="420"/>
        <w:jc w:val="left"/>
        <w:rPr>
          <w:rFonts w:ascii="宋体" w:hAnsi="宋体" w:cs="宋体"/>
          <w:szCs w:val="21"/>
        </w:rPr>
      </w:pPr>
      <w:r>
        <w:rPr>
          <w:rFonts w:hint="eastAsia" w:ascii="宋体" w:hAnsi="宋体" w:cs="宋体"/>
          <w:szCs w:val="21"/>
        </w:rPr>
        <w:t>（3）如果投标文件实质上没有响应采购文件的要求，评标委员会将予以拒绝，投标人不得通过修改或撤销不合要求的偏离或保留而使其投标成为实质性响应的投标。</w:t>
      </w:r>
      <w:bookmarkEnd w:id="83"/>
    </w:p>
    <w:p>
      <w:pPr>
        <w:tabs>
          <w:tab w:val="left" w:pos="4825"/>
        </w:tabs>
        <w:spacing w:line="360" w:lineRule="auto"/>
        <w:ind w:firstLine="422"/>
        <w:jc w:val="left"/>
        <w:rPr>
          <w:rFonts w:ascii="宋体" w:hAnsi="宋体" w:cs="宋体"/>
          <w:b/>
          <w:szCs w:val="21"/>
        </w:rPr>
      </w:pPr>
      <w:r>
        <w:rPr>
          <w:rFonts w:hint="eastAsia" w:ascii="宋体" w:hAnsi="宋体" w:cs="宋体"/>
          <w:b/>
          <w:szCs w:val="21"/>
        </w:rPr>
        <w:t>20.2.3.1投标文件属于下列情形之一的，在符合性审查时按照无效投标处理：</w:t>
      </w:r>
    </w:p>
    <w:p>
      <w:pPr>
        <w:tabs>
          <w:tab w:val="left" w:pos="4825"/>
        </w:tabs>
        <w:spacing w:line="360" w:lineRule="auto"/>
        <w:ind w:firstLine="420"/>
        <w:jc w:val="left"/>
        <w:rPr>
          <w:rFonts w:ascii="宋体" w:hAnsi="宋体" w:cs="宋体"/>
          <w:szCs w:val="21"/>
        </w:rPr>
      </w:pPr>
      <w:r>
        <w:rPr>
          <w:rFonts w:hint="eastAsia" w:ascii="宋体" w:hAnsi="宋体" w:cs="宋体"/>
          <w:szCs w:val="21"/>
        </w:rPr>
        <w:t>（1）投标人在苏采云系统规定的时间内未成功解密电子投标文件；</w:t>
      </w:r>
    </w:p>
    <w:p>
      <w:pPr>
        <w:tabs>
          <w:tab w:val="left" w:pos="4825"/>
        </w:tabs>
        <w:spacing w:line="360" w:lineRule="auto"/>
        <w:ind w:firstLine="420"/>
        <w:jc w:val="left"/>
        <w:rPr>
          <w:rFonts w:ascii="宋体" w:hAnsi="宋体" w:cs="宋体"/>
          <w:szCs w:val="21"/>
        </w:rPr>
      </w:pPr>
      <w:r>
        <w:rPr>
          <w:rFonts w:hint="eastAsia" w:ascii="宋体" w:hAnsi="宋体" w:cs="宋体"/>
          <w:szCs w:val="21"/>
        </w:rPr>
        <w:t>（2）投标人未按照采购文件要求上传电子投标文件；</w:t>
      </w:r>
    </w:p>
    <w:p>
      <w:pPr>
        <w:tabs>
          <w:tab w:val="left" w:pos="4825"/>
        </w:tabs>
        <w:spacing w:line="360" w:lineRule="auto"/>
        <w:ind w:firstLine="420"/>
        <w:jc w:val="left"/>
        <w:rPr>
          <w:rFonts w:ascii="宋体" w:hAnsi="宋体" w:cs="宋体"/>
          <w:szCs w:val="21"/>
        </w:rPr>
      </w:pPr>
      <w:r>
        <w:rPr>
          <w:rFonts w:hint="eastAsia" w:ascii="宋体" w:hAnsi="宋体" w:cs="宋体"/>
          <w:szCs w:val="21"/>
        </w:rPr>
        <w:t>（3）投标文件未按照采购文件要求加盖电子公章；</w:t>
      </w:r>
    </w:p>
    <w:p>
      <w:pPr>
        <w:tabs>
          <w:tab w:val="left" w:pos="4825"/>
        </w:tabs>
        <w:spacing w:line="360" w:lineRule="auto"/>
        <w:ind w:firstLine="420"/>
        <w:jc w:val="left"/>
        <w:rPr>
          <w:rFonts w:ascii="宋体" w:hAnsi="宋体" w:cs="宋体"/>
          <w:szCs w:val="21"/>
        </w:rPr>
      </w:pPr>
      <w:r>
        <w:rPr>
          <w:rFonts w:hint="eastAsia" w:ascii="宋体" w:hAnsi="宋体" w:cs="宋体"/>
          <w:szCs w:val="21"/>
        </w:rPr>
        <w:t>（4）不具备采购文件中规定实质性要求的；</w:t>
      </w:r>
    </w:p>
    <w:p>
      <w:pPr>
        <w:tabs>
          <w:tab w:val="left" w:pos="4825"/>
        </w:tabs>
        <w:spacing w:line="360" w:lineRule="auto"/>
        <w:ind w:firstLine="420"/>
        <w:jc w:val="left"/>
        <w:rPr>
          <w:rFonts w:ascii="宋体" w:hAnsi="宋体" w:cs="宋体"/>
          <w:szCs w:val="21"/>
        </w:rPr>
      </w:pPr>
      <w:r>
        <w:rPr>
          <w:rFonts w:hint="eastAsia" w:ascii="宋体" w:hAnsi="宋体" w:cs="宋体"/>
          <w:szCs w:val="21"/>
        </w:rPr>
        <w:t>（5）投标总价超出采购项目预算或者最高限价的；</w:t>
      </w:r>
    </w:p>
    <w:p>
      <w:pPr>
        <w:tabs>
          <w:tab w:val="left" w:pos="4825"/>
        </w:tabs>
        <w:spacing w:line="360" w:lineRule="auto"/>
        <w:ind w:firstLine="420"/>
        <w:jc w:val="left"/>
        <w:rPr>
          <w:rFonts w:ascii="宋体" w:hAnsi="宋体" w:cs="宋体"/>
          <w:szCs w:val="21"/>
        </w:rPr>
      </w:pPr>
      <w:r>
        <w:rPr>
          <w:rFonts w:hint="eastAsia" w:ascii="宋体" w:hAnsi="宋体" w:cs="宋体"/>
          <w:szCs w:val="21"/>
        </w:rPr>
        <w:t>（6）不同投标人的投标文件由同一单位或者个人编制的；</w:t>
      </w:r>
    </w:p>
    <w:p>
      <w:pPr>
        <w:spacing w:line="360" w:lineRule="auto"/>
        <w:ind w:firstLine="420"/>
        <w:rPr>
          <w:rFonts w:ascii="宋体" w:hAnsi="宋体" w:cs="宋体"/>
          <w:szCs w:val="21"/>
        </w:rPr>
      </w:pPr>
      <w:r>
        <w:rPr>
          <w:rFonts w:hint="eastAsia" w:ascii="宋体" w:hAnsi="宋体" w:cs="宋体"/>
          <w:szCs w:val="21"/>
        </w:rPr>
        <w:t>（7）不同投标人委托同一单位或者个人办理投标事宜；</w:t>
      </w:r>
    </w:p>
    <w:p>
      <w:pPr>
        <w:pStyle w:val="354"/>
        <w:spacing w:line="360" w:lineRule="auto"/>
        <w:rPr>
          <w:rFonts w:ascii="宋体" w:hAnsi="宋体" w:cs="宋体"/>
          <w:szCs w:val="21"/>
        </w:rPr>
      </w:pPr>
      <w:r>
        <w:rPr>
          <w:rFonts w:hint="eastAsia" w:ascii="宋体" w:hAnsi="宋体" w:cs="宋体"/>
          <w:szCs w:val="21"/>
        </w:rPr>
        <w:t>（8）不同投标人的投标文件载明的项目管理成员</w:t>
      </w:r>
      <w:bookmarkStart w:id="85" w:name="_Hlk176185278"/>
      <w:r>
        <w:rPr>
          <w:rFonts w:hint="eastAsia" w:ascii="宋体" w:hAnsi="宋体" w:cs="宋体"/>
          <w:szCs w:val="21"/>
        </w:rPr>
        <w:t>或者联系人员为同一人</w:t>
      </w:r>
      <w:bookmarkEnd w:id="85"/>
      <w:r>
        <w:rPr>
          <w:rFonts w:hint="eastAsia" w:ascii="宋体" w:hAnsi="宋体" w:cs="宋体"/>
          <w:szCs w:val="21"/>
        </w:rPr>
        <w:t>；</w:t>
      </w:r>
    </w:p>
    <w:p>
      <w:pPr>
        <w:pStyle w:val="354"/>
        <w:spacing w:line="360" w:lineRule="auto"/>
        <w:rPr>
          <w:rFonts w:ascii="宋体" w:hAnsi="宋体" w:cs="宋体"/>
          <w:szCs w:val="21"/>
        </w:rPr>
      </w:pPr>
      <w:r>
        <w:rPr>
          <w:rFonts w:hint="eastAsia" w:ascii="宋体" w:hAnsi="宋体" w:cs="宋体"/>
          <w:szCs w:val="21"/>
        </w:rPr>
        <w:t>（9）不同投标人的投标文件异常一致或者投标报价呈规律性差异；</w:t>
      </w:r>
    </w:p>
    <w:p>
      <w:pPr>
        <w:pStyle w:val="354"/>
        <w:spacing w:line="360" w:lineRule="auto"/>
        <w:rPr>
          <w:rFonts w:ascii="宋体" w:hAnsi="宋体" w:cs="宋体"/>
          <w:szCs w:val="21"/>
        </w:rPr>
      </w:pPr>
      <w:r>
        <w:rPr>
          <w:rFonts w:hint="eastAsia" w:ascii="宋体" w:hAnsi="宋体" w:cs="宋体"/>
          <w:szCs w:val="21"/>
        </w:rPr>
        <w:t>（10）不同投标人的负责人为同一人或者存在控股、管理关系的；</w:t>
      </w:r>
    </w:p>
    <w:p>
      <w:pPr>
        <w:adjustRightInd w:val="0"/>
        <w:snapToGrid w:val="0"/>
        <w:spacing w:line="360" w:lineRule="auto"/>
        <w:ind w:firstLine="422" w:firstLineChars="200"/>
        <w:jc w:val="left"/>
        <w:rPr>
          <w:rFonts w:ascii="Arial" w:hAnsi="Arial"/>
          <w:b/>
          <w:color w:val="000000"/>
          <w:szCs w:val="21"/>
          <w:lang w:val="zh-CN"/>
        </w:rPr>
      </w:pPr>
      <w:r>
        <w:rPr>
          <w:rFonts w:hint="eastAsia" w:ascii="宋体" w:hAnsi="宋体" w:cs="宋体"/>
          <w:b/>
          <w:szCs w:val="21"/>
        </w:rPr>
        <w:t>（11）</w:t>
      </w:r>
      <w:r>
        <w:rPr>
          <w:rFonts w:hint="eastAsia" w:ascii="宋体" w:hAnsi="宋体"/>
          <w:b/>
          <w:szCs w:val="21"/>
        </w:rPr>
        <w:t>评</w:t>
      </w:r>
      <w:r>
        <w:rPr>
          <w:rFonts w:hint="eastAsia" w:ascii="Arial" w:hAnsi="Arial"/>
          <w:b/>
          <w:color w:val="000000"/>
          <w:szCs w:val="21"/>
          <w:lang w:val="zh-CN"/>
        </w:rPr>
        <w:t>审中出现下列情形之一的，评审委员会应当启动异常低价投标（响应）审查程序：</w:t>
      </w:r>
    </w:p>
    <w:p>
      <w:pPr>
        <w:widowControl/>
        <w:spacing w:line="360" w:lineRule="auto"/>
        <w:jc w:val="left"/>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1、</w:t>
      </w:r>
      <w:r>
        <w:rPr>
          <w:rFonts w:ascii="Arial" w:hAnsi="Arial"/>
          <w:b/>
          <w:color w:val="000000"/>
          <w:szCs w:val="21"/>
          <w:lang w:val="zh-CN"/>
        </w:rPr>
        <w:t xml:space="preserve">投标（响应）报价低于全部通过符合性审查供应商投标（响应）报价平均值的 50%；即：投标（响应）报价＜全部通过符合性审查供应商投标（响应）报价平均值 ×50%； </w:t>
      </w:r>
    </w:p>
    <w:p>
      <w:pPr>
        <w:widowControl/>
        <w:spacing w:line="360" w:lineRule="auto"/>
        <w:jc w:val="left"/>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2、</w:t>
      </w:r>
      <w:r>
        <w:rPr>
          <w:rFonts w:ascii="Arial" w:hAnsi="Arial"/>
          <w:b/>
          <w:color w:val="000000"/>
          <w:szCs w:val="21"/>
          <w:lang w:val="zh-CN"/>
        </w:rPr>
        <w:t xml:space="preserve">投标（响应）报价低于通过符合性审查供应商中次低投标（响应）报价的 50%；即：投标（响应）报价＜通过符合性审查次低报价供应商报价×50%； </w:t>
      </w:r>
    </w:p>
    <w:p>
      <w:pPr>
        <w:adjustRightInd w:val="0"/>
        <w:snapToGrid w:val="0"/>
        <w:spacing w:line="360" w:lineRule="auto"/>
        <w:ind w:firstLine="422" w:firstLineChars="200"/>
        <w:jc w:val="left"/>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3、</w:t>
      </w:r>
      <w:r>
        <w:rPr>
          <w:rFonts w:ascii="Arial" w:hAnsi="Arial"/>
          <w:b/>
          <w:color w:val="000000"/>
          <w:szCs w:val="21"/>
          <w:lang w:val="zh-CN"/>
        </w:rPr>
        <w:t>投标人投标（响应）报价低于项目最高限价的 45%；即：投标（响应）报价＜项目最高限价×45%。</w:t>
      </w:r>
    </w:p>
    <w:p>
      <w:pPr>
        <w:adjustRightInd w:val="0"/>
        <w:snapToGrid w:val="0"/>
        <w:spacing w:line="360" w:lineRule="auto"/>
        <w:ind w:firstLine="422" w:firstLineChars="200"/>
        <w:jc w:val="left"/>
        <w:rPr>
          <w:rFonts w:ascii="宋体" w:hAnsi="宋体"/>
          <w:b/>
          <w:szCs w:val="21"/>
        </w:rPr>
      </w:pPr>
      <w:r>
        <w:rPr>
          <w:rFonts w:ascii="Arial" w:hAnsi="Arial"/>
          <w:b/>
          <w:color w:val="000000"/>
          <w:szCs w:val="21"/>
          <w:lang w:val="zh-CN"/>
        </w:rPr>
        <w:t>评审委员会会要求</w:t>
      </w:r>
      <w:r>
        <w:rPr>
          <w:rFonts w:hint="eastAsia" w:ascii="Arial" w:hAnsi="Arial"/>
          <w:b/>
          <w:color w:val="000000"/>
          <w:szCs w:val="21"/>
          <w:lang w:val="zh-CN"/>
        </w:rPr>
        <w:t>异常低价投标单位在</w:t>
      </w:r>
      <w:r>
        <w:rPr>
          <w:rFonts w:ascii="Arial" w:hAnsi="Arial"/>
          <w:b/>
          <w:color w:val="000000"/>
          <w:szCs w:val="21"/>
          <w:lang w:val="zh-CN"/>
        </w:rPr>
        <w:t>30分钟内提供书面说明及必要证明材料（包括不限于详细的项目具体成本测算（需分解至人工、材料、设备、制造费用、管理费、税费及合理利润）；支撑上述成本的证据，如近期原材料采购合同或市场价格凭证、人工费用标准证明、自有设备清单、可降低成本的专利技术或独特工艺说明等。）投标（响应）供应商不能提供书面说明、证明材料，或者提供的书面说明、证明材料不能证明其报价合理性的，评审委员会应当将其作为无效投标（响应）处理。</w:t>
      </w:r>
    </w:p>
    <w:p>
      <w:pPr>
        <w:pStyle w:val="354"/>
        <w:spacing w:line="360" w:lineRule="auto"/>
        <w:rPr>
          <w:rFonts w:ascii="宋体" w:hAnsi="宋体" w:cs="宋体"/>
          <w:szCs w:val="21"/>
        </w:rPr>
      </w:pPr>
      <w:r>
        <w:rPr>
          <w:rFonts w:hint="eastAsia" w:ascii="宋体" w:hAnsi="宋体" w:cs="宋体"/>
          <w:szCs w:val="21"/>
        </w:rPr>
        <w:t>（12）投标文件含有采购人不能接受的附加条件的；</w:t>
      </w:r>
    </w:p>
    <w:p>
      <w:pPr>
        <w:pStyle w:val="354"/>
        <w:spacing w:line="360" w:lineRule="auto"/>
        <w:rPr>
          <w:rFonts w:ascii="宋体" w:hAnsi="宋体" w:cs="宋体"/>
          <w:szCs w:val="21"/>
        </w:rPr>
      </w:pPr>
      <w:r>
        <w:rPr>
          <w:rFonts w:hint="eastAsia" w:ascii="宋体" w:hAnsi="宋体" w:cs="宋体"/>
          <w:szCs w:val="21"/>
        </w:rPr>
        <w:t>（13）不符合法律、法规和采购文件规定的其他实质性要求的。</w:t>
      </w:r>
    </w:p>
    <w:p>
      <w:pPr>
        <w:widowControl/>
        <w:shd w:val="clear" w:color="auto" w:fill="FFFFFF"/>
        <w:spacing w:line="360" w:lineRule="auto"/>
        <w:ind w:firstLine="422"/>
        <w:jc w:val="left"/>
        <w:rPr>
          <w:rFonts w:ascii="宋体" w:hAnsi="宋体" w:cs="宋体"/>
          <w:b/>
          <w:bCs/>
          <w:szCs w:val="21"/>
        </w:rPr>
      </w:pPr>
      <w:r>
        <w:rPr>
          <w:rFonts w:hint="eastAsia" w:ascii="宋体" w:hAnsi="宋体" w:cs="宋体"/>
          <w:b/>
          <w:bCs/>
          <w:szCs w:val="21"/>
        </w:rPr>
        <w:t>20.2.4有下列情形之一的予以废标：</w:t>
      </w:r>
    </w:p>
    <w:p>
      <w:pPr>
        <w:widowControl/>
        <w:shd w:val="clear" w:color="auto" w:fill="FFFFFF"/>
        <w:spacing w:line="360" w:lineRule="auto"/>
        <w:ind w:firstLine="420"/>
        <w:rPr>
          <w:rFonts w:ascii="宋体" w:hAnsi="宋体" w:cs="宋体"/>
          <w:szCs w:val="21"/>
        </w:rPr>
      </w:pPr>
      <w:r>
        <w:rPr>
          <w:rFonts w:hint="eastAsia" w:ascii="宋体" w:hAnsi="宋体" w:cs="宋体"/>
          <w:szCs w:val="21"/>
        </w:rPr>
        <w:t>（1）符合资格条件的投标人或者对采购文件作实质性响应的投标人不足三家的；</w:t>
      </w:r>
    </w:p>
    <w:p>
      <w:pPr>
        <w:widowControl/>
        <w:shd w:val="clear" w:color="auto" w:fill="FFFFFF"/>
        <w:spacing w:line="360" w:lineRule="auto"/>
        <w:ind w:firstLine="420"/>
        <w:rPr>
          <w:rFonts w:ascii="宋体" w:hAnsi="宋体" w:cs="宋体"/>
          <w:szCs w:val="21"/>
        </w:rPr>
      </w:pPr>
      <w:r>
        <w:rPr>
          <w:rFonts w:hint="eastAsia" w:ascii="宋体" w:hAnsi="宋体" w:cs="宋体"/>
          <w:szCs w:val="21"/>
        </w:rPr>
        <w:t>（2）出现影响采购公正的违法、违规行为的；</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（3）因重大变故，采购任务取消的；</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（4）因苏采云系统故障造成开标不成功。</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20.2.5未通过资格审查或符合性审查的投标人，采购代理机构将通过苏采云系统告知其具体原因，评标结束后不再接受有关询问。</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20.2.6如出现投标截止时间后参加的投标人或者对采购文件作出实质性响应的投标人不足三家的情况，按政府采购相关规定执行。</w:t>
      </w:r>
    </w:p>
    <w:p>
      <w:pPr>
        <w:widowControl/>
        <w:shd w:val="clear" w:color="auto" w:fill="FFFFFF"/>
        <w:spacing w:line="360" w:lineRule="auto"/>
        <w:ind w:firstLine="422"/>
        <w:jc w:val="left"/>
        <w:rPr>
          <w:rFonts w:ascii="宋体" w:hAnsi="宋体" w:cs="宋体"/>
          <w:b/>
          <w:bCs/>
          <w:szCs w:val="21"/>
        </w:rPr>
      </w:pPr>
      <w:r>
        <w:rPr>
          <w:rFonts w:hint="eastAsia" w:ascii="宋体" w:hAnsi="宋体" w:cs="宋体"/>
          <w:b/>
          <w:bCs/>
          <w:szCs w:val="21"/>
        </w:rPr>
        <w:t>20.3 评标过程中的澄清</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20.3.1 评标期间，评标委员会对投标文件中含义不明确、同类问题表述不一致或者有明显文字和计算错误的内容，有权要求投标人作出必要的澄清、说明或者补正。</w:t>
      </w:r>
    </w:p>
    <w:p>
      <w:pPr>
        <w:widowControl/>
        <w:shd w:val="clear" w:color="auto" w:fill="FFFFFF"/>
        <w:spacing w:line="360" w:lineRule="auto"/>
        <w:ind w:firstLine="420"/>
        <w:jc w:val="left"/>
        <w:rPr>
          <w:rFonts w:ascii="宋体" w:hAnsi="宋体" w:cs="宋体"/>
          <w:szCs w:val="21"/>
        </w:rPr>
      </w:pPr>
      <w:bookmarkStart w:id="86" w:name="OLE_LINK4"/>
      <w:r>
        <w:rPr>
          <w:rFonts w:hint="eastAsia" w:ascii="宋体" w:hAnsi="宋体" w:cs="宋体"/>
          <w:szCs w:val="21"/>
        </w:rPr>
        <w:t>投标人的澄清、说明或者补正不得超出投标文件的范围或者改变投标文件的实质性内容</w:t>
      </w:r>
      <w:bookmarkEnd w:id="86"/>
      <w:r>
        <w:rPr>
          <w:rFonts w:hint="eastAsia" w:ascii="宋体" w:hAnsi="宋体" w:cs="宋体"/>
          <w:szCs w:val="21"/>
        </w:rPr>
        <w:t>。</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评标委员会并非对每个投标人都做澄清要求。</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20.3.3接到评标委员会澄清、说明和补正要求的，投标人如未按规定作出澄清、说明和补正，其风险由投标人自行承担。</w:t>
      </w:r>
    </w:p>
    <w:p>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20.3.4投标文件报价出现前后不一致的，除采购文件另有规定外，按照下列规定修正：</w:t>
      </w:r>
    </w:p>
    <w:p>
      <w:pPr>
        <w:widowControl/>
        <w:shd w:val="clear" w:color="auto" w:fill="FFFFFF"/>
        <w:spacing w:line="360" w:lineRule="auto"/>
        <w:ind w:firstLine="420"/>
        <w:rPr>
          <w:rFonts w:ascii="宋体" w:hAnsi="宋体" w:cs="宋体"/>
          <w:szCs w:val="21"/>
        </w:rPr>
      </w:pPr>
      <w:r>
        <w:rPr>
          <w:rFonts w:hint="eastAsia" w:ascii="宋体" w:hAnsi="宋体" w:cs="宋体"/>
          <w:szCs w:val="21"/>
        </w:rPr>
        <w:t>（1）投标文件中开标一览表内容与投标文件中相应内容不一致的，以开标一览表为准；</w:t>
      </w:r>
    </w:p>
    <w:p>
      <w:pPr>
        <w:widowControl/>
        <w:shd w:val="clear" w:color="auto" w:fill="FFFFFF"/>
        <w:spacing w:line="360" w:lineRule="auto"/>
        <w:ind w:firstLine="420"/>
        <w:rPr>
          <w:rFonts w:ascii="宋体" w:hAnsi="宋体" w:cs="宋体"/>
          <w:szCs w:val="21"/>
        </w:rPr>
      </w:pPr>
      <w:r>
        <w:rPr>
          <w:rFonts w:hint="eastAsia" w:ascii="宋体" w:hAnsi="宋体" w:cs="宋体"/>
          <w:szCs w:val="21"/>
        </w:rPr>
        <w:t>（2）大写金额和小写金额不一致的，以大写金额为准；</w:t>
      </w:r>
    </w:p>
    <w:p>
      <w:pPr>
        <w:widowControl/>
        <w:shd w:val="clear" w:color="auto" w:fill="FFFFFF"/>
        <w:spacing w:line="360" w:lineRule="auto"/>
        <w:ind w:firstLine="420"/>
        <w:rPr>
          <w:rFonts w:ascii="宋体" w:hAnsi="宋体" w:cs="宋体"/>
          <w:szCs w:val="21"/>
        </w:rPr>
      </w:pPr>
      <w:r>
        <w:rPr>
          <w:rFonts w:hint="eastAsia" w:ascii="宋体" w:hAnsi="宋体" w:cs="宋体"/>
          <w:szCs w:val="21"/>
        </w:rPr>
        <w:t>（3）单价金额小数点或者百分比有明显错位的，以开标一览表的总价为准，并修改单价；</w:t>
      </w:r>
    </w:p>
    <w:p>
      <w:pPr>
        <w:widowControl/>
        <w:shd w:val="clear" w:color="auto" w:fill="FFFFFF"/>
        <w:spacing w:line="360" w:lineRule="auto"/>
        <w:ind w:firstLine="420"/>
        <w:rPr>
          <w:rFonts w:ascii="宋体" w:hAnsi="宋体" w:cs="宋体"/>
          <w:szCs w:val="21"/>
        </w:rPr>
      </w:pPr>
      <w:r>
        <w:rPr>
          <w:rFonts w:hint="eastAsia" w:ascii="宋体" w:hAnsi="宋体" w:cs="宋体"/>
          <w:szCs w:val="21"/>
        </w:rPr>
        <w:t>（4）总价金额与按单价汇总金额不一致的，以单价金额计算结果为准。</w:t>
      </w:r>
    </w:p>
    <w:p>
      <w:pPr>
        <w:widowControl/>
        <w:shd w:val="clear" w:color="auto" w:fill="FFFFFF"/>
        <w:spacing w:line="360" w:lineRule="auto"/>
        <w:ind w:firstLine="420"/>
        <w:rPr>
          <w:rFonts w:ascii="宋体" w:hAnsi="宋体" w:cs="宋体"/>
          <w:szCs w:val="21"/>
        </w:rPr>
      </w:pPr>
      <w:r>
        <w:rPr>
          <w:rFonts w:hint="eastAsia" w:ascii="宋体" w:hAnsi="宋体" w:cs="宋体"/>
          <w:szCs w:val="21"/>
        </w:rPr>
        <w:t>同时出现两种以上不一致的，按照前款规定的顺序修正。</w:t>
      </w:r>
    </w:p>
    <w:p>
      <w:pPr>
        <w:widowControl/>
        <w:shd w:val="clear" w:color="auto" w:fill="FFFFFF"/>
        <w:spacing w:line="360" w:lineRule="auto"/>
        <w:ind w:firstLine="420"/>
        <w:rPr>
          <w:rFonts w:ascii="宋体" w:hAnsi="宋体" w:cs="宋体"/>
          <w:szCs w:val="21"/>
        </w:rPr>
      </w:pPr>
      <w:bookmarkStart w:id="87" w:name="_Hlk176184375"/>
      <w:r>
        <w:rPr>
          <w:rFonts w:hint="eastAsia" w:ascii="宋体" w:hAnsi="宋体" w:cs="宋体"/>
          <w:szCs w:val="21"/>
        </w:rPr>
        <w:t>评标委员会将按上述修正错误的方法调整投标文件中的投标报价，并通过苏采云系统告知投标人，调整后的价格对投标人具有约束力。如果投标人不接受修正后的价格，则其投标将被拒绝。</w:t>
      </w:r>
    </w:p>
    <w:p>
      <w:pPr>
        <w:widowControl/>
        <w:shd w:val="clear" w:color="auto" w:fill="FFFFFF"/>
        <w:spacing w:line="360" w:lineRule="auto"/>
        <w:ind w:firstLine="422"/>
        <w:rPr>
          <w:rFonts w:ascii="宋体" w:hAnsi="宋体" w:cs="宋体"/>
          <w:b/>
          <w:bCs/>
          <w:szCs w:val="21"/>
        </w:rPr>
      </w:pPr>
      <w:r>
        <w:rPr>
          <w:rFonts w:hint="eastAsia" w:ascii="宋体" w:hAnsi="宋体" w:cs="宋体"/>
          <w:b/>
          <w:bCs/>
          <w:szCs w:val="21"/>
        </w:rPr>
        <w:t>20.3.5投标人在开、评标全过程中应保持通讯畅通，</w:t>
      </w:r>
      <w:bookmarkStart w:id="88" w:name="OLE_LINK25"/>
      <w:r>
        <w:rPr>
          <w:rFonts w:hint="eastAsia" w:ascii="宋体" w:hAnsi="宋体" w:cs="宋体"/>
          <w:b/>
          <w:bCs/>
          <w:szCs w:val="21"/>
        </w:rPr>
        <w:t>及时登录苏采云系统查阅</w:t>
      </w:r>
      <w:bookmarkEnd w:id="88"/>
      <w:r>
        <w:rPr>
          <w:rFonts w:hint="eastAsia" w:ascii="宋体" w:hAnsi="宋体" w:cs="宋体"/>
          <w:b/>
          <w:bCs/>
          <w:szCs w:val="21"/>
        </w:rPr>
        <w:t>、答复相关信息，并安排专人与采购代理机构及评标委员会联系。</w:t>
      </w:r>
      <w:bookmarkEnd w:id="87"/>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20.4比较与评价</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评标委员会应当按照采购文件中规定的评标方法和标准，对符合性审查合格的投标文件进行商务和技术评估，综合比较与评价。</w:t>
      </w:r>
    </w:p>
    <w:p>
      <w:pPr>
        <w:widowControl/>
        <w:shd w:val="clear" w:color="auto" w:fill="FFFFFF"/>
        <w:spacing w:line="360" w:lineRule="auto"/>
        <w:ind w:firstLine="422"/>
        <w:jc w:val="left"/>
        <w:rPr>
          <w:rFonts w:ascii="宋体" w:hAnsi="宋体" w:cs="宋体"/>
          <w:szCs w:val="21"/>
        </w:rPr>
      </w:pPr>
      <w:r>
        <w:rPr>
          <w:rFonts w:hint="eastAsia" w:ascii="宋体" w:hAnsi="宋体" w:cs="宋体"/>
          <w:b/>
          <w:bCs/>
          <w:szCs w:val="21"/>
        </w:rPr>
        <w:t>21.评标方法和标准</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21.1本次采购采用综合评分法，评标方法和标准，详见本采购文件第三章。</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21.2综合评分法，是指投标文件满足采购文件全部实质性要求，且按照评审因素的量化指标评审得分最高的投标人为中标候选人的评标方法。</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22.确定中标人</w:t>
      </w:r>
    </w:p>
    <w:p>
      <w:pPr>
        <w:widowControl/>
        <w:shd w:val="clear" w:color="auto" w:fill="FFFFFF"/>
        <w:spacing w:line="360" w:lineRule="auto"/>
        <w:ind w:firstLine="420"/>
        <w:rPr>
          <w:rFonts w:ascii="宋体" w:hAnsi="宋体" w:cs="宋体"/>
          <w:szCs w:val="21"/>
        </w:rPr>
      </w:pPr>
      <w:r>
        <w:rPr>
          <w:rFonts w:hint="eastAsia" w:ascii="宋体" w:hAnsi="宋体" w:cs="宋体"/>
          <w:szCs w:val="21"/>
        </w:rPr>
        <w:t>22.1采用综合评分法的，评标结果按评审后得分由高到低顺序排列。得分相同的，按投标报价由低到高顺序排列。得分且投标报价相同的并列，按技术指标优劣顺序排列。</w:t>
      </w:r>
      <w:bookmarkStart w:id="89" w:name="_Hlk44576646"/>
      <w:r>
        <w:rPr>
          <w:rFonts w:hint="eastAsia" w:ascii="宋体" w:hAnsi="宋体" w:cs="宋体"/>
          <w:szCs w:val="21"/>
        </w:rPr>
        <w:t>投标文件满足采购文件全部实质性要求，</w:t>
      </w:r>
      <w:bookmarkStart w:id="90" w:name="_Hlk128053036"/>
      <w:r>
        <w:rPr>
          <w:rFonts w:hint="eastAsia" w:ascii="宋体" w:hAnsi="宋体" w:cs="宋体"/>
          <w:szCs w:val="21"/>
        </w:rPr>
        <w:t>且按照评审因素的量化指标评审得分最高的投标人为排名第一的中标候选人，经采购人授权，</w:t>
      </w:r>
      <w:bookmarkEnd w:id="89"/>
      <w:r>
        <w:rPr>
          <w:rFonts w:hint="eastAsia" w:ascii="宋体" w:hAnsi="宋体" w:cs="宋体"/>
          <w:szCs w:val="21"/>
        </w:rPr>
        <w:t>评标委员会将综合排名第一的中标候选人确定为中标人。</w:t>
      </w:r>
    </w:p>
    <w:p>
      <w:pPr>
        <w:widowControl/>
        <w:shd w:val="clear" w:color="auto" w:fill="FFFFFF"/>
        <w:spacing w:line="360" w:lineRule="auto"/>
        <w:ind w:firstLine="420"/>
        <w:rPr>
          <w:rFonts w:ascii="宋体" w:hAnsi="宋体" w:cs="宋体"/>
          <w:szCs w:val="21"/>
        </w:rPr>
      </w:pPr>
      <w:r>
        <w:rPr>
          <w:rFonts w:hint="eastAsia" w:ascii="宋体" w:hAnsi="宋体" w:cs="宋体"/>
          <w:szCs w:val="21"/>
        </w:rPr>
        <w:t>22.2中标人确定后，采购代理机构在原公告发布媒体</w:t>
      </w:r>
      <w:r>
        <w:rPr>
          <w:rFonts w:hint="eastAsia" w:ascii="宋体" w:hAnsi="宋体" w:cs="宋体"/>
          <w:szCs w:val="21"/>
          <w:lang w:val="zh-CN"/>
        </w:rPr>
        <w:t>发布</w:t>
      </w:r>
      <w:r>
        <w:rPr>
          <w:rFonts w:hint="eastAsia" w:ascii="宋体" w:hAnsi="宋体" w:cs="宋体"/>
          <w:szCs w:val="21"/>
        </w:rPr>
        <w:t>中标公告，公告期限为1个工作日。</w:t>
      </w:r>
      <w:bookmarkEnd w:id="90"/>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23.</w:t>
      </w:r>
      <w:r>
        <w:rPr>
          <w:rFonts w:hint="eastAsia" w:ascii="宋体" w:hAnsi="宋体" w:cs="宋体"/>
        </w:rPr>
        <w:t xml:space="preserve"> </w:t>
      </w:r>
      <w:r>
        <w:rPr>
          <w:rFonts w:hint="eastAsia" w:ascii="宋体" w:hAnsi="宋体" w:cs="宋体"/>
          <w:b/>
          <w:bCs/>
          <w:szCs w:val="21"/>
        </w:rPr>
        <w:t>中标通知书</w:t>
      </w:r>
    </w:p>
    <w:p>
      <w:pPr>
        <w:widowControl/>
        <w:shd w:val="clear" w:color="auto" w:fill="FFFFFF"/>
        <w:spacing w:line="360" w:lineRule="auto"/>
        <w:ind w:firstLine="420"/>
        <w:rPr>
          <w:rFonts w:ascii="宋体" w:hAnsi="宋体" w:cs="宋体"/>
          <w:szCs w:val="21"/>
        </w:rPr>
      </w:pPr>
      <w:r>
        <w:rPr>
          <w:rFonts w:hint="eastAsia" w:ascii="宋体" w:hAnsi="宋体" w:cs="宋体"/>
          <w:szCs w:val="21"/>
        </w:rPr>
        <w:t>23.l 中标结果确定后，采购代理机构将向中标人发出中标通知书。中标人可在中标结果公告届满之日起三十日内,登录苏采云系统下载。</w:t>
      </w:r>
    </w:p>
    <w:p>
      <w:pPr>
        <w:widowControl/>
        <w:shd w:val="clear" w:color="auto" w:fill="FFFFFF"/>
        <w:spacing w:line="360" w:lineRule="auto"/>
        <w:ind w:firstLine="420"/>
        <w:rPr>
          <w:rFonts w:ascii="宋体" w:hAnsi="宋体" w:cs="宋体"/>
          <w:szCs w:val="21"/>
        </w:rPr>
      </w:pPr>
      <w:r>
        <w:rPr>
          <w:rFonts w:hint="eastAsia" w:ascii="宋体" w:hAnsi="宋体" w:cs="宋体"/>
          <w:szCs w:val="21"/>
        </w:rPr>
        <w:t>因系统存储空间有限，中标结果公告届满之日起三十日后，苏采云系统不再保证提供下载中标通知书服务，因未及时下载而造成的不利后果由中标人自行承担。</w:t>
      </w:r>
    </w:p>
    <w:p>
      <w:pPr>
        <w:widowControl/>
        <w:shd w:val="clear" w:color="auto" w:fill="FFFFFF"/>
        <w:spacing w:line="360" w:lineRule="auto"/>
        <w:ind w:firstLine="420"/>
        <w:rPr>
          <w:rFonts w:ascii="宋体" w:hAnsi="宋体" w:cs="宋体"/>
          <w:szCs w:val="21"/>
        </w:rPr>
      </w:pPr>
      <w:r>
        <w:rPr>
          <w:rFonts w:hint="eastAsia" w:ascii="宋体" w:hAnsi="宋体" w:cs="宋体"/>
          <w:szCs w:val="21"/>
        </w:rPr>
        <w:t>23.2 中标通知书是合同的一个组成部分，对采购人和中标人均具有法律效力。中标通知书发出后，采购人改变中标结果或者中标人放弃中标项目的，应当依法承担法律责任。</w:t>
      </w:r>
    </w:p>
    <w:p>
      <w:pPr>
        <w:widowControl/>
        <w:shd w:val="clear" w:color="auto" w:fill="FFFFFF"/>
        <w:spacing w:line="360" w:lineRule="auto"/>
        <w:ind w:firstLine="420"/>
        <w:rPr>
          <w:rFonts w:ascii="宋体" w:hAnsi="宋体" w:cs="宋体"/>
          <w:szCs w:val="21"/>
        </w:rPr>
      </w:pPr>
      <w:r>
        <w:rPr>
          <w:rFonts w:hint="eastAsia" w:ascii="宋体" w:hAnsi="宋体" w:cs="宋体"/>
          <w:szCs w:val="21"/>
        </w:rPr>
        <w:t>23.3 中标人在领取中标通知书时，需向采购代理机构提供纸质版投标文件一式叁份（盖章版本），投标文件提倡按照A4幅面打印或复印并进行装订（采用胶装形式递交）。</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24.评标过程的保密性</w:t>
      </w:r>
    </w:p>
    <w:p>
      <w:pPr>
        <w:widowControl/>
        <w:shd w:val="clear" w:color="auto" w:fill="FFFFFF"/>
        <w:spacing w:line="360" w:lineRule="auto"/>
        <w:ind w:firstLine="420"/>
        <w:rPr>
          <w:rFonts w:ascii="宋体" w:hAnsi="宋体" w:cs="宋体"/>
          <w:szCs w:val="21"/>
        </w:rPr>
      </w:pPr>
      <w:r>
        <w:rPr>
          <w:rFonts w:hint="eastAsia" w:ascii="宋体" w:hAnsi="宋体" w:cs="宋体"/>
          <w:szCs w:val="21"/>
        </w:rPr>
        <w:t>24.1 采购人和采购代理机构将采取必要措施，保证评标在严格保密的情况下进行。</w:t>
      </w:r>
    </w:p>
    <w:p>
      <w:pPr>
        <w:widowControl/>
        <w:shd w:val="clear" w:color="auto" w:fill="FFFFFF"/>
        <w:spacing w:line="360" w:lineRule="auto"/>
        <w:ind w:firstLine="420"/>
        <w:rPr>
          <w:rFonts w:ascii="宋体" w:hAnsi="宋体" w:cs="宋体"/>
          <w:szCs w:val="21"/>
        </w:rPr>
      </w:pPr>
      <w:r>
        <w:rPr>
          <w:rFonts w:hint="eastAsia" w:ascii="宋体" w:hAnsi="宋体" w:cs="宋体"/>
          <w:szCs w:val="21"/>
        </w:rPr>
        <w:t>24.2 任何单位和个人不得非法干预、影响评标办法的确定，以及评标过程和结果。</w:t>
      </w:r>
    </w:p>
    <w:p>
      <w:pPr>
        <w:widowControl/>
        <w:shd w:val="clear" w:color="auto" w:fill="FFFFFF"/>
        <w:spacing w:line="360" w:lineRule="auto"/>
        <w:ind w:firstLine="420"/>
        <w:rPr>
          <w:rFonts w:ascii="宋体" w:hAnsi="宋体" w:cs="宋体"/>
          <w:szCs w:val="21"/>
        </w:rPr>
      </w:pPr>
      <w:r>
        <w:rPr>
          <w:rFonts w:hint="eastAsia" w:ascii="宋体" w:hAnsi="宋体" w:cs="宋体"/>
          <w:szCs w:val="21"/>
        </w:rPr>
        <w:t>24.3 凡是与审查、澄清、评价和比较投标的有关资料等，均不向投标人及与评标无关的其他人员透露。</w:t>
      </w:r>
    </w:p>
    <w:p>
      <w:pPr>
        <w:widowControl/>
        <w:shd w:val="clear" w:color="auto" w:fill="FFFFFF"/>
        <w:spacing w:line="360" w:lineRule="auto"/>
        <w:ind w:firstLine="420"/>
        <w:rPr>
          <w:rFonts w:ascii="宋体" w:hAnsi="宋体" w:cs="宋体"/>
          <w:szCs w:val="21"/>
        </w:rPr>
      </w:pPr>
      <w:r>
        <w:rPr>
          <w:rFonts w:hint="eastAsia" w:ascii="宋体" w:hAnsi="宋体" w:cs="宋体"/>
          <w:szCs w:val="21"/>
        </w:rPr>
        <w:t>24.4采购代理机构和评标委员会不向未中标的投标人解释未中标原因，也不公布评标过程中的相关细节。</w:t>
      </w:r>
    </w:p>
    <w:p>
      <w:pPr>
        <w:widowControl/>
        <w:shd w:val="clear" w:color="auto" w:fill="FFFFFF"/>
        <w:spacing w:line="360" w:lineRule="auto"/>
        <w:ind w:firstLine="422"/>
        <w:rPr>
          <w:rFonts w:ascii="宋体" w:hAnsi="宋体" w:cs="宋体"/>
          <w:szCs w:val="21"/>
        </w:rPr>
      </w:pPr>
      <w:bookmarkStart w:id="91" w:name="_Hlk176188663"/>
      <w:r>
        <w:rPr>
          <w:rFonts w:hint="eastAsia" w:ascii="宋体" w:hAnsi="宋体" w:cs="宋体"/>
          <w:b/>
          <w:bCs/>
          <w:szCs w:val="21"/>
        </w:rPr>
        <w:t>六、签订合同</w:t>
      </w:r>
      <w:bookmarkEnd w:id="91"/>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25.签订合同</w:t>
      </w:r>
    </w:p>
    <w:p>
      <w:pPr>
        <w:widowControl/>
        <w:shd w:val="clear" w:color="auto" w:fill="FFFFFF"/>
        <w:spacing w:line="360" w:lineRule="auto"/>
        <w:ind w:firstLine="420"/>
        <w:rPr>
          <w:rFonts w:ascii="宋体" w:hAnsi="宋体" w:cs="宋体"/>
          <w:szCs w:val="21"/>
        </w:rPr>
      </w:pPr>
      <w:r>
        <w:rPr>
          <w:rFonts w:hint="eastAsia" w:ascii="宋体" w:hAnsi="宋体" w:cs="宋体"/>
          <w:szCs w:val="21"/>
        </w:rPr>
        <w:t>25.1采购人与中标人应当自中标通知书发出之日起30日内，按照采购文件和中标人投标文件的规定，签订书面合同。所签订的合同不得对采购文件确定的事项和中标人投标文件作实质性修改。</w:t>
      </w:r>
    </w:p>
    <w:p>
      <w:pPr>
        <w:widowControl/>
        <w:shd w:val="clear" w:color="auto" w:fill="FFFFFF"/>
        <w:spacing w:line="360" w:lineRule="auto"/>
        <w:ind w:firstLine="420"/>
        <w:rPr>
          <w:rFonts w:ascii="宋体" w:hAnsi="宋体" w:cs="宋体"/>
          <w:szCs w:val="21"/>
        </w:rPr>
      </w:pPr>
      <w:r>
        <w:rPr>
          <w:rFonts w:hint="eastAsia" w:ascii="宋体" w:hAnsi="宋体" w:cs="宋体"/>
          <w:szCs w:val="21"/>
        </w:rPr>
        <w:t>25.2采购人不得向中标人提出任何不合理的要求作为签订合同的条件。</w:t>
      </w:r>
    </w:p>
    <w:p>
      <w:pPr>
        <w:widowControl/>
        <w:shd w:val="clear" w:color="auto" w:fill="FFFFFF"/>
        <w:spacing w:line="360" w:lineRule="auto"/>
        <w:ind w:firstLine="420"/>
        <w:rPr>
          <w:rFonts w:ascii="宋体" w:hAnsi="宋体" w:cs="宋体"/>
          <w:szCs w:val="21"/>
        </w:rPr>
      </w:pPr>
      <w:bookmarkStart w:id="92" w:name="_Hlk128053131"/>
      <w:r>
        <w:rPr>
          <w:rFonts w:hint="eastAsia" w:ascii="宋体" w:hAnsi="宋体" w:cs="宋体"/>
          <w:szCs w:val="21"/>
        </w:rPr>
        <w:t>25.3</w:t>
      </w:r>
      <w:bookmarkStart w:id="93" w:name="_Hlk134712780"/>
      <w:r>
        <w:rPr>
          <w:rFonts w:hint="eastAsia" w:ascii="宋体" w:hAnsi="宋体" w:cs="宋体"/>
          <w:szCs w:val="21"/>
        </w:rPr>
        <w:t>中标人拒绝与采购人签订合同的，采购人可以按照评标报告推荐的中标候选人名单排序，确定下一候选人为中标人，也可以重新开展政府采购活动。</w:t>
      </w:r>
      <w:bookmarkEnd w:id="92"/>
      <w:bookmarkEnd w:id="93"/>
    </w:p>
    <w:p>
      <w:pPr>
        <w:widowControl/>
        <w:shd w:val="clear" w:color="auto" w:fill="FFFFFF"/>
        <w:spacing w:line="360" w:lineRule="auto"/>
        <w:ind w:firstLine="420"/>
        <w:rPr>
          <w:rFonts w:ascii="宋体" w:hAnsi="宋体" w:cs="宋体"/>
          <w:szCs w:val="21"/>
        </w:rPr>
      </w:pPr>
      <w:r>
        <w:rPr>
          <w:rFonts w:hint="eastAsia" w:ascii="宋体" w:hAnsi="宋体" w:cs="宋体"/>
          <w:szCs w:val="21"/>
        </w:rPr>
        <w:t>25.4 政府采购合同履行中，采购人需追加与合同标的相同的</w:t>
      </w:r>
      <w:bookmarkStart w:id="94" w:name="_Hlk176352307"/>
      <w:r>
        <w:rPr>
          <w:rFonts w:hint="eastAsia" w:ascii="宋体" w:hAnsi="宋体" w:cs="宋体"/>
          <w:szCs w:val="21"/>
        </w:rPr>
        <w:t>服务（包含与服务相关的货物）</w:t>
      </w:r>
      <w:bookmarkEnd w:id="94"/>
      <w:r>
        <w:rPr>
          <w:rFonts w:hint="eastAsia" w:ascii="宋体" w:hAnsi="宋体" w:cs="宋体"/>
          <w:szCs w:val="21"/>
        </w:rPr>
        <w:t>，在不改变合同其他条款的前提下，可以与中标人协商签订补充合同，但所有补充合同的采购金额不得超过原合同采购金额的百分之十。</w:t>
      </w:r>
    </w:p>
    <w:p>
      <w:pPr>
        <w:widowControl/>
        <w:shd w:val="clear" w:color="auto" w:fill="FFFFFF"/>
        <w:spacing w:line="360" w:lineRule="auto"/>
        <w:ind w:firstLine="420"/>
        <w:rPr>
          <w:rFonts w:ascii="宋体" w:hAnsi="宋体" w:cs="宋体"/>
          <w:szCs w:val="21"/>
        </w:rPr>
      </w:pPr>
      <w:r>
        <w:rPr>
          <w:rFonts w:hint="eastAsia" w:ascii="宋体" w:hAnsi="宋体" w:cs="宋体"/>
          <w:szCs w:val="21"/>
        </w:rPr>
        <w:t>25.5采购文件、中标人的投标文件及招标过程中有关澄清、承诺文件均作为合同附件。</w:t>
      </w:r>
    </w:p>
    <w:p>
      <w:pPr>
        <w:widowControl/>
        <w:shd w:val="clear" w:color="auto" w:fill="FFFFFF"/>
        <w:spacing w:line="360" w:lineRule="auto"/>
        <w:ind w:firstLine="420"/>
        <w:rPr>
          <w:rFonts w:ascii="宋体" w:hAnsi="宋体" w:cs="宋体"/>
          <w:szCs w:val="21"/>
        </w:rPr>
      </w:pPr>
      <w:r>
        <w:rPr>
          <w:rFonts w:hint="eastAsia" w:ascii="宋体" w:hAnsi="宋体" w:cs="宋体"/>
          <w:szCs w:val="21"/>
        </w:rPr>
        <w:t>25.6采购人与中标人应当根据合同的约定依法履行合同义务。</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七、质疑和投诉</w:t>
      </w:r>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26.质疑</w:t>
      </w:r>
    </w:p>
    <w:p>
      <w:pPr>
        <w:widowControl/>
        <w:shd w:val="clear" w:color="auto" w:fill="FFFFFF"/>
        <w:spacing w:line="360" w:lineRule="auto"/>
        <w:ind w:firstLine="420"/>
        <w:rPr>
          <w:rFonts w:ascii="宋体" w:hAnsi="宋体" w:cs="宋体"/>
          <w:szCs w:val="21"/>
        </w:rPr>
      </w:pPr>
      <w:bookmarkStart w:id="95" w:name="_Hlk135041925"/>
      <w:r>
        <w:rPr>
          <w:rFonts w:hint="eastAsia" w:ascii="宋体" w:hAnsi="宋体" w:cs="宋体"/>
          <w:szCs w:val="21"/>
        </w:rPr>
        <w:t>26.1投标人对采购活动事项有疑问的，可以向采购代理机构提出询问，采购代理机构将依法作出答复，但答复的内容不涉及商业秘密。</w:t>
      </w:r>
    </w:p>
    <w:p>
      <w:pPr>
        <w:widowControl/>
        <w:shd w:val="clear" w:color="auto" w:fill="FFFFFF"/>
        <w:spacing w:line="360" w:lineRule="auto"/>
        <w:ind w:firstLine="420"/>
        <w:rPr>
          <w:rFonts w:ascii="宋体" w:hAnsi="宋体" w:cs="宋体"/>
          <w:szCs w:val="21"/>
        </w:rPr>
      </w:pPr>
      <w:r>
        <w:rPr>
          <w:rFonts w:hint="eastAsia" w:ascii="宋体" w:hAnsi="宋体" w:cs="宋体"/>
          <w:szCs w:val="21"/>
        </w:rPr>
        <w:t>26.2提出质疑的投标人应当是参与所质疑项目采购活动的投标人。潜在投标人已依法获取其可质疑的采购文件的，可以对该文件提出质疑。</w:t>
      </w:r>
    </w:p>
    <w:p>
      <w:pPr>
        <w:widowControl/>
        <w:shd w:val="clear" w:color="auto" w:fill="FFFFFF"/>
        <w:spacing w:line="360" w:lineRule="auto"/>
        <w:ind w:firstLine="420"/>
        <w:rPr>
          <w:rFonts w:ascii="宋体" w:hAnsi="宋体" w:cs="宋体"/>
          <w:szCs w:val="21"/>
        </w:rPr>
      </w:pPr>
      <w:r>
        <w:rPr>
          <w:rFonts w:hint="eastAsia" w:ascii="宋体" w:hAnsi="宋体" w:cs="宋体"/>
          <w:szCs w:val="21"/>
        </w:rPr>
        <w:t>以联合体形式参加政府采购活动的，其质疑应当由组成联合体的所有投标人共同提出，联合体各方均须按要求加盖公章。</w:t>
      </w:r>
    </w:p>
    <w:p>
      <w:pPr>
        <w:widowControl/>
        <w:shd w:val="clear" w:color="auto" w:fill="FFFFFF"/>
        <w:spacing w:line="360" w:lineRule="auto"/>
        <w:ind w:firstLine="420"/>
        <w:rPr>
          <w:rFonts w:ascii="宋体" w:hAnsi="宋体" w:cs="宋体"/>
          <w:szCs w:val="21"/>
        </w:rPr>
      </w:pPr>
      <w:r>
        <w:rPr>
          <w:rFonts w:hint="eastAsia" w:ascii="宋体" w:hAnsi="宋体" w:cs="宋体"/>
          <w:szCs w:val="21"/>
        </w:rPr>
        <w:t>26.3投标人认为采购文件、采购过程和中标结果使自己的合法权益受到损害的，可以在知道或者应知其权益受到损害之日起七个工作日内，将质疑文件原件送达采购人或采购代理机构。</w:t>
      </w:r>
    </w:p>
    <w:p>
      <w:pPr>
        <w:widowControl/>
        <w:shd w:val="clear" w:color="auto" w:fill="FFFFFF"/>
        <w:spacing w:line="360" w:lineRule="auto"/>
        <w:ind w:firstLine="420"/>
        <w:rPr>
          <w:rFonts w:ascii="宋体" w:hAnsi="宋体" w:cs="宋体"/>
          <w:szCs w:val="21"/>
        </w:rPr>
      </w:pPr>
      <w:r>
        <w:rPr>
          <w:rFonts w:hint="eastAsia" w:ascii="宋体" w:hAnsi="宋体" w:cs="宋体"/>
          <w:szCs w:val="21"/>
        </w:rPr>
        <w:t>投标人应知其权益受到损害之日，是指：对采购文件提出质疑的，应当在获取采购文件或者采购文件公告期限届满之日起7个工作日内提出；对采购过程提出质疑的，为各采购程序环节结束之日；对中标结果提出质疑的，为中标结果公告期限届满之日。</w:t>
      </w:r>
    </w:p>
    <w:p>
      <w:pPr>
        <w:widowControl/>
        <w:shd w:val="clear" w:color="auto" w:fill="FFFFFF"/>
        <w:spacing w:line="360" w:lineRule="auto"/>
        <w:ind w:firstLine="420"/>
        <w:rPr>
          <w:rFonts w:ascii="宋体" w:hAnsi="宋体" w:cs="宋体"/>
          <w:szCs w:val="21"/>
        </w:rPr>
      </w:pPr>
      <w:r>
        <w:rPr>
          <w:rFonts w:hint="eastAsia" w:ascii="宋体" w:hAnsi="宋体" w:cs="宋体"/>
          <w:szCs w:val="21"/>
        </w:rPr>
        <w:t>投标人必须在法定质疑期内一次性提出针对同一采购程序环节的质疑。</w:t>
      </w:r>
    </w:p>
    <w:p>
      <w:pPr>
        <w:widowControl/>
        <w:shd w:val="clear" w:color="auto" w:fill="FFFFFF"/>
        <w:spacing w:line="360" w:lineRule="auto"/>
        <w:ind w:firstLine="420"/>
        <w:rPr>
          <w:rFonts w:ascii="宋体" w:hAnsi="宋体" w:cs="宋体"/>
          <w:szCs w:val="21"/>
        </w:rPr>
      </w:pPr>
      <w:r>
        <w:rPr>
          <w:rFonts w:hint="eastAsia" w:ascii="宋体" w:hAnsi="宋体" w:cs="宋体"/>
          <w:szCs w:val="21"/>
        </w:rPr>
        <w:t>26.4 投标人提出质疑应当按照《政府采购质疑和投诉办法》的规定提交质疑函和必要的证明材料。质疑函应当包括下列内容：</w:t>
      </w:r>
    </w:p>
    <w:p>
      <w:pPr>
        <w:widowControl/>
        <w:shd w:val="clear" w:color="auto" w:fill="FFFFFF"/>
        <w:spacing w:line="360" w:lineRule="auto"/>
        <w:ind w:firstLine="420"/>
        <w:rPr>
          <w:rFonts w:ascii="宋体" w:hAnsi="宋体" w:cs="宋体"/>
          <w:szCs w:val="21"/>
        </w:rPr>
      </w:pPr>
      <w:r>
        <w:rPr>
          <w:rFonts w:hint="eastAsia" w:ascii="宋体" w:hAnsi="宋体" w:cs="宋体"/>
          <w:szCs w:val="21"/>
        </w:rPr>
        <w:t>（1）投标人的姓名或者名称、地址、邮编、联系人及联系电话；</w:t>
      </w:r>
    </w:p>
    <w:p>
      <w:pPr>
        <w:widowControl/>
        <w:shd w:val="clear" w:color="auto" w:fill="FFFFFF"/>
        <w:spacing w:line="360" w:lineRule="auto"/>
        <w:ind w:firstLine="420"/>
        <w:rPr>
          <w:rFonts w:ascii="宋体" w:hAnsi="宋体" w:cs="宋体"/>
          <w:szCs w:val="21"/>
        </w:rPr>
      </w:pPr>
      <w:r>
        <w:rPr>
          <w:rFonts w:hint="eastAsia" w:ascii="宋体" w:hAnsi="宋体" w:cs="宋体"/>
          <w:szCs w:val="21"/>
        </w:rPr>
        <w:t>（2）质疑项目的名称、编号；</w:t>
      </w:r>
    </w:p>
    <w:p>
      <w:pPr>
        <w:widowControl/>
        <w:shd w:val="clear" w:color="auto" w:fill="FFFFFF"/>
        <w:spacing w:line="360" w:lineRule="auto"/>
        <w:ind w:firstLine="420"/>
        <w:rPr>
          <w:rFonts w:ascii="宋体" w:hAnsi="宋体" w:cs="宋体"/>
          <w:szCs w:val="21"/>
        </w:rPr>
      </w:pPr>
      <w:r>
        <w:rPr>
          <w:rFonts w:hint="eastAsia" w:ascii="宋体" w:hAnsi="宋体" w:cs="宋体"/>
          <w:szCs w:val="21"/>
        </w:rPr>
        <w:t>（3）具体、明确的质疑事项和与质疑事项相关的请求（具体条款）；</w:t>
      </w:r>
    </w:p>
    <w:p>
      <w:pPr>
        <w:widowControl/>
        <w:shd w:val="clear" w:color="auto" w:fill="FFFFFF"/>
        <w:spacing w:line="360" w:lineRule="auto"/>
        <w:ind w:firstLine="420"/>
        <w:rPr>
          <w:rFonts w:ascii="宋体" w:hAnsi="宋体" w:cs="宋体"/>
          <w:szCs w:val="21"/>
        </w:rPr>
      </w:pPr>
      <w:r>
        <w:rPr>
          <w:rFonts w:hint="eastAsia" w:ascii="宋体" w:hAnsi="宋体" w:cs="宋体"/>
          <w:szCs w:val="21"/>
        </w:rPr>
        <w:t>（4）事实依据（具体条款）；</w:t>
      </w:r>
    </w:p>
    <w:p>
      <w:pPr>
        <w:widowControl/>
        <w:shd w:val="clear" w:color="auto" w:fill="FFFFFF"/>
        <w:spacing w:line="360" w:lineRule="auto"/>
        <w:ind w:firstLine="420"/>
        <w:rPr>
          <w:rFonts w:ascii="宋体" w:hAnsi="宋体" w:cs="宋体"/>
          <w:szCs w:val="21"/>
        </w:rPr>
      </w:pPr>
      <w:r>
        <w:rPr>
          <w:rFonts w:hint="eastAsia" w:ascii="宋体" w:hAnsi="宋体" w:cs="宋体"/>
          <w:szCs w:val="21"/>
        </w:rPr>
        <w:t>（5）必要的法律依据（具体条款）；</w:t>
      </w:r>
    </w:p>
    <w:p>
      <w:pPr>
        <w:widowControl/>
        <w:shd w:val="clear" w:color="auto" w:fill="FFFFFF"/>
        <w:spacing w:line="360" w:lineRule="auto"/>
        <w:ind w:firstLine="420"/>
        <w:rPr>
          <w:rFonts w:ascii="宋体" w:hAnsi="宋体" w:cs="宋体"/>
          <w:szCs w:val="21"/>
        </w:rPr>
      </w:pPr>
      <w:r>
        <w:rPr>
          <w:rFonts w:hint="eastAsia" w:ascii="宋体" w:hAnsi="宋体" w:cs="宋体"/>
          <w:szCs w:val="21"/>
        </w:rPr>
        <w:t>（6）提出质疑的日期。</w:t>
      </w:r>
    </w:p>
    <w:p>
      <w:pPr>
        <w:widowControl/>
        <w:shd w:val="clear" w:color="auto" w:fill="FFFFFF"/>
        <w:spacing w:line="360" w:lineRule="auto"/>
        <w:ind w:firstLine="420"/>
        <w:rPr>
          <w:rFonts w:ascii="宋体" w:hAnsi="宋体" w:cs="宋体"/>
          <w:szCs w:val="21"/>
        </w:rPr>
      </w:pPr>
      <w:r>
        <w:rPr>
          <w:rFonts w:hint="eastAsia" w:ascii="宋体" w:hAnsi="宋体" w:cs="宋体"/>
          <w:szCs w:val="21"/>
        </w:rPr>
        <w:t>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p>
    <w:p>
      <w:pPr>
        <w:widowControl/>
        <w:shd w:val="clear" w:color="auto" w:fill="FFFFFF"/>
        <w:spacing w:line="360" w:lineRule="auto"/>
        <w:ind w:firstLine="420"/>
        <w:rPr>
          <w:rFonts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pPr>
        <w:widowControl/>
        <w:shd w:val="clear" w:color="auto" w:fill="FFFFFF"/>
        <w:spacing w:line="360" w:lineRule="auto"/>
        <w:ind w:firstLine="420"/>
        <w:rPr>
          <w:rFonts w:ascii="宋体" w:hAnsi="宋体" w:cs="宋体"/>
          <w:szCs w:val="21"/>
        </w:rPr>
      </w:pPr>
      <w:r>
        <w:rPr>
          <w:rFonts w:hint="eastAsia" w:ascii="宋体" w:hAnsi="宋体" w:cs="宋体"/>
          <w:szCs w:val="21"/>
        </w:rPr>
        <w:t>26.5 质疑函应当现场提交至采购代理机构联系人处，提交时应出示有效身份证明。未按上述要求提交质疑函的，质疑不予受理。</w:t>
      </w:r>
    </w:p>
    <w:p>
      <w:pPr>
        <w:widowControl/>
        <w:shd w:val="clear" w:color="auto" w:fill="FFFFFF"/>
        <w:spacing w:line="360" w:lineRule="auto"/>
        <w:ind w:firstLine="420"/>
        <w:rPr>
          <w:rFonts w:ascii="宋体" w:hAnsi="宋体" w:cs="宋体"/>
          <w:szCs w:val="21"/>
        </w:rPr>
      </w:pPr>
      <w:r>
        <w:rPr>
          <w:rFonts w:hint="eastAsia" w:ascii="宋体" w:hAnsi="宋体" w:cs="宋体"/>
          <w:szCs w:val="21"/>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pPr>
        <w:widowControl/>
        <w:shd w:val="clear" w:color="auto" w:fill="FFFFFF"/>
        <w:spacing w:line="360" w:lineRule="auto"/>
        <w:ind w:firstLine="420"/>
        <w:rPr>
          <w:rFonts w:ascii="宋体" w:hAnsi="宋体" w:cs="宋体"/>
          <w:szCs w:val="21"/>
        </w:rPr>
      </w:pPr>
      <w:r>
        <w:rPr>
          <w:rFonts w:hint="eastAsia" w:ascii="宋体" w:hAnsi="宋体" w:cs="宋体"/>
          <w:szCs w:val="21"/>
        </w:rPr>
        <w:t>26.7 采购代理机构在收到投标人的书面质疑后将及时组织调查核实，在</w:t>
      </w:r>
      <w:r>
        <w:rPr>
          <w:rFonts w:hint="eastAsia" w:ascii="宋体" w:hAnsi="宋体" w:cs="宋体"/>
          <w:b/>
          <w:bCs/>
          <w:szCs w:val="21"/>
        </w:rPr>
        <w:t>七个工作日内</w:t>
      </w:r>
      <w:r>
        <w:rPr>
          <w:rFonts w:hint="eastAsia" w:ascii="宋体" w:hAnsi="宋体" w:cs="宋体"/>
          <w:szCs w:val="21"/>
        </w:rPr>
        <w:t>作出答复，并以书面或在网站公告形式通知质疑投标人和其他有关投标人，答复的内容不涉及商业秘密。</w:t>
      </w:r>
      <w:bookmarkEnd w:id="95"/>
    </w:p>
    <w:p>
      <w:pPr>
        <w:widowControl/>
        <w:shd w:val="clear" w:color="auto" w:fill="FFFFFF"/>
        <w:spacing w:line="360" w:lineRule="auto"/>
        <w:ind w:firstLine="422"/>
        <w:rPr>
          <w:rFonts w:ascii="宋体" w:hAnsi="宋体" w:cs="宋体"/>
          <w:szCs w:val="21"/>
        </w:rPr>
      </w:pPr>
      <w:r>
        <w:rPr>
          <w:rFonts w:hint="eastAsia" w:ascii="宋体" w:hAnsi="宋体" w:cs="宋体"/>
          <w:b/>
          <w:bCs/>
          <w:szCs w:val="21"/>
        </w:rPr>
        <w:t>27.投诉</w:t>
      </w:r>
    </w:p>
    <w:p>
      <w:pPr>
        <w:spacing w:line="360" w:lineRule="auto"/>
        <w:ind w:firstLine="420"/>
        <w:rPr>
          <w:rFonts w:ascii="宋体" w:hAnsi="宋体" w:cs="宋体"/>
          <w:szCs w:val="21"/>
        </w:rPr>
      </w:pPr>
      <w:r>
        <w:rPr>
          <w:rFonts w:hint="eastAsia" w:ascii="宋体" w:hAnsi="宋体" w:cs="宋体"/>
          <w:szCs w:val="21"/>
        </w:rPr>
        <w:t>27.1质疑投标人对采购代理机构的答复不满意或者采购代理机构未在规定的时间内作出答复的，可以在答复期满后十五个工作日内向同级政府采购监督管理部门投诉。</w:t>
      </w:r>
    </w:p>
    <w:p>
      <w:pPr>
        <w:spacing w:line="360" w:lineRule="auto"/>
        <w:ind w:firstLine="420"/>
        <w:rPr>
          <w:rFonts w:ascii="宋体" w:hAnsi="宋体" w:cs="宋体"/>
          <w:szCs w:val="21"/>
        </w:rPr>
      </w:pPr>
      <w:r>
        <w:rPr>
          <w:rFonts w:hint="eastAsia" w:ascii="宋体" w:hAnsi="宋体" w:cs="宋体"/>
          <w:szCs w:val="21"/>
        </w:rPr>
        <w:t>27.2 投标人投诉应当有明确的请求和必要的证明材料。投标人投诉的事项不得超出已质疑事项的范围。</w:t>
      </w:r>
    </w:p>
    <w:p>
      <w:pPr>
        <w:spacing w:line="360" w:lineRule="auto"/>
        <w:ind w:firstLine="420"/>
        <w:rPr>
          <w:rFonts w:ascii="宋体" w:hAnsi="宋体" w:cs="宋体"/>
          <w:szCs w:val="21"/>
        </w:rPr>
      </w:pPr>
      <w:r>
        <w:rPr>
          <w:rFonts w:hint="eastAsia" w:ascii="宋体" w:hAnsi="宋体" w:cs="宋体"/>
          <w:szCs w:val="21"/>
        </w:rPr>
        <w:t>27.3投诉人对政府采购监督管理部门的投诉处理决定不服或者政府采购监督管理部门逾期未作处理的，可以依法申请行政复议或者向人民法院提起行政诉讼。</w:t>
      </w:r>
    </w:p>
    <w:p>
      <w:pPr>
        <w:spacing w:line="360" w:lineRule="auto"/>
        <w:ind w:firstLine="420"/>
        <w:rPr>
          <w:rFonts w:ascii="宋体" w:hAnsi="宋体" w:cs="宋体"/>
          <w:szCs w:val="21"/>
        </w:rPr>
      </w:pPr>
      <w:r>
        <w:rPr>
          <w:rFonts w:hint="eastAsia" w:ascii="宋体" w:hAnsi="宋体" w:cs="宋体"/>
          <w:szCs w:val="21"/>
        </w:rPr>
        <w:t>27.4 投诉人在全国范围12个月内3次以上投诉查无实据的，由财政部门列入不良行为记录名单。</w:t>
      </w:r>
    </w:p>
    <w:p>
      <w:pPr>
        <w:spacing w:line="360" w:lineRule="auto"/>
        <w:ind w:firstLine="420"/>
        <w:rPr>
          <w:rFonts w:ascii="宋体" w:hAnsi="宋体" w:cs="宋体"/>
          <w:szCs w:val="21"/>
        </w:rPr>
      </w:pPr>
      <w:r>
        <w:rPr>
          <w:rFonts w:hint="eastAsia" w:ascii="宋体" w:hAnsi="宋体" w:cs="宋体"/>
          <w:szCs w:val="21"/>
        </w:rPr>
        <w:t>27.5投诉人有下列行为之一的，属于虚假、恶意投诉，由财政部门列入不良行为记录名单，禁止其1至3年内参加政府采购活动：</w:t>
      </w:r>
    </w:p>
    <w:p>
      <w:pPr>
        <w:spacing w:line="360" w:lineRule="auto"/>
        <w:ind w:firstLine="420"/>
        <w:rPr>
          <w:rFonts w:ascii="宋体" w:hAnsi="宋体" w:cs="宋体"/>
          <w:szCs w:val="21"/>
        </w:rPr>
      </w:pPr>
      <w:r>
        <w:rPr>
          <w:rFonts w:hint="eastAsia" w:ascii="宋体" w:hAnsi="宋体" w:cs="宋体"/>
          <w:szCs w:val="21"/>
        </w:rPr>
        <w:t>（1）捏造事实；</w:t>
      </w:r>
    </w:p>
    <w:p>
      <w:pPr>
        <w:spacing w:line="360" w:lineRule="auto"/>
        <w:ind w:firstLine="420"/>
        <w:rPr>
          <w:rFonts w:ascii="宋体" w:hAnsi="宋体" w:cs="宋体"/>
          <w:szCs w:val="21"/>
        </w:rPr>
      </w:pPr>
      <w:r>
        <w:rPr>
          <w:rFonts w:hint="eastAsia" w:ascii="宋体" w:hAnsi="宋体" w:cs="宋体"/>
          <w:szCs w:val="21"/>
        </w:rPr>
        <w:t>（2）提供虚假材料；</w:t>
      </w:r>
    </w:p>
    <w:p>
      <w:pPr>
        <w:spacing w:line="360" w:lineRule="auto"/>
        <w:ind w:firstLine="420"/>
        <w:rPr>
          <w:rFonts w:ascii="宋体" w:hAnsi="宋体" w:cs="宋体"/>
          <w:szCs w:val="21"/>
        </w:rPr>
      </w:pPr>
      <w:r>
        <w:rPr>
          <w:rFonts w:hint="eastAsia" w:ascii="宋体" w:hAnsi="宋体" w:cs="宋体"/>
          <w:szCs w:val="21"/>
        </w:rPr>
        <w:t>（3）以非法手段取得证明材料。证据来源的合法性存在明显疑问，投诉人无法证明其取得方式合法的，视为以非法手段取得证明材料。</w:t>
      </w:r>
    </w:p>
    <w:p>
      <w:pPr>
        <w:pStyle w:val="203"/>
        <w:numPr>
          <w:ilvl w:val="0"/>
          <w:numId w:val="0"/>
        </w:numPr>
        <w:rPr>
          <w:rFonts w:ascii="宋体" w:hAnsi="宋体" w:cs="宋体"/>
        </w:rPr>
      </w:pPr>
      <w:r>
        <w:rPr>
          <w:rFonts w:hint="eastAsia" w:ascii="宋体" w:hAnsi="宋体" w:cs="宋体"/>
          <w:sz w:val="21"/>
          <w:szCs w:val="21"/>
        </w:rPr>
        <w:br w:type="page" w:clear="all"/>
      </w:r>
      <w:bookmarkStart w:id="96" w:name="_Toc481057145"/>
      <w:bookmarkStart w:id="97" w:name="_Toc176529669"/>
      <w:bookmarkStart w:id="98" w:name="_Toc2754"/>
      <w:r>
        <w:rPr>
          <w:rFonts w:hint="eastAsia" w:ascii="宋体" w:hAnsi="宋体" w:cs="宋体"/>
        </w:rPr>
        <w:t>第三章 评标标准</w:t>
      </w:r>
      <w:bookmarkEnd w:id="96"/>
      <w:bookmarkEnd w:id="97"/>
      <w:bookmarkEnd w:id="98"/>
    </w:p>
    <w:p>
      <w:pPr>
        <w:spacing w:line="360" w:lineRule="auto"/>
        <w:ind w:firstLine="420"/>
        <w:rPr>
          <w:rFonts w:ascii="宋体" w:hAnsi="宋体" w:cs="宋体"/>
          <w:szCs w:val="21"/>
        </w:rPr>
      </w:pPr>
      <w:bookmarkStart w:id="99" w:name="_Hlk44577066"/>
      <w:r>
        <w:rPr>
          <w:rFonts w:hint="eastAsia" w:ascii="宋体" w:hAnsi="宋体" w:cs="宋体"/>
          <w:szCs w:val="21"/>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0" w:name="_Hlk176529455"/>
    </w:p>
    <w:tbl>
      <w:tblPr>
        <w:tblStyle w:val="44"/>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334"/>
        <w:gridCol w:w="6983"/>
        <w:gridCol w:w="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b/>
                <w:color w:val="000000" w:themeColor="text1"/>
                <w:szCs w:val="21"/>
              </w:rPr>
              <w:t>序号</w:t>
            </w:r>
          </w:p>
        </w:tc>
        <w:tc>
          <w:tcPr>
            <w:tcW w:w="134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b/>
                <w:color w:val="000000" w:themeColor="text1"/>
                <w:szCs w:val="21"/>
              </w:rPr>
              <w:t>评分因素</w:t>
            </w: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b/>
                <w:color w:val="000000" w:themeColor="text1"/>
                <w:szCs w:val="21"/>
              </w:rPr>
              <w:t>评审标准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b/>
                <w:color w:val="000000" w:themeColor="text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b/>
                <w:color w:val="000000" w:themeColor="text1"/>
                <w:szCs w:val="21"/>
              </w:rPr>
              <w:t>1</w:t>
            </w:r>
          </w:p>
        </w:tc>
        <w:tc>
          <w:tcPr>
            <w:tcW w:w="134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b/>
                <w:color w:val="000000" w:themeColor="text1"/>
                <w:szCs w:val="21"/>
              </w:rPr>
              <w:t>价格部分</w:t>
            </w:r>
          </w:p>
          <w:p>
            <w:pPr>
              <w:spacing w:line="300" w:lineRule="auto"/>
              <w:jc w:val="center"/>
              <w:rPr>
                <w:b/>
                <w:color w:val="000000" w:themeColor="text1"/>
                <w:szCs w:val="21"/>
              </w:rPr>
            </w:pPr>
            <w:r>
              <w:rPr>
                <w:b/>
                <w:color w:val="000000" w:themeColor="text1"/>
                <w:szCs w:val="21"/>
              </w:rPr>
              <w:t>（</w:t>
            </w:r>
            <w:r>
              <w:rPr>
                <w:rFonts w:hint="eastAsia"/>
                <w:b/>
                <w:color w:val="000000" w:themeColor="text1"/>
                <w:szCs w:val="21"/>
              </w:rPr>
              <w:t>10</w:t>
            </w:r>
            <w:r>
              <w:rPr>
                <w:b/>
                <w:color w:val="000000" w:themeColor="text1"/>
                <w:szCs w:val="21"/>
              </w:rPr>
              <w:t>分）</w:t>
            </w: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bCs/>
                <w:color w:val="000000" w:themeColor="text1"/>
                <w:szCs w:val="21"/>
              </w:rPr>
            </w:pPr>
            <w:r>
              <w:rPr>
                <w:b/>
                <w:bCs/>
                <w:color w:val="000000" w:themeColor="text1"/>
                <w:szCs w:val="21"/>
              </w:rPr>
              <w:t>价格评分：</w:t>
            </w:r>
          </w:p>
          <w:p>
            <w:pPr>
              <w:spacing w:line="300" w:lineRule="auto"/>
              <w:ind w:firstLine="440"/>
              <w:rPr>
                <w:bCs/>
                <w:color w:val="000000" w:themeColor="text1"/>
                <w:szCs w:val="21"/>
              </w:rPr>
            </w:pPr>
            <w:r>
              <w:rPr>
                <w:rFonts w:hint="eastAsia"/>
                <w:bCs/>
                <w:color w:val="000000" w:themeColor="text1"/>
                <w:szCs w:val="21"/>
              </w:rPr>
              <w:t>价格分采用低价优先法计算，即满足采购文件要求且投标价格最低的供应商投标报价为评标基准价，其价格分为满分10分，其它投标人的价格分统一按照以下公式计算：投标报价得分=（评标基准价/该投标人的投标报价）×10分。分值保留小数点后2位。</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w:t>
            </w:r>
            <w:r>
              <w:rPr>
                <w:b/>
                <w:color w:val="000000" w:themeColor="text1"/>
                <w:szCs w:val="21"/>
              </w:rPr>
              <w:t>.1</w:t>
            </w:r>
          </w:p>
        </w:tc>
        <w:tc>
          <w:tcPr>
            <w:tcW w:w="1345" w:type="dxa"/>
            <w:vMerge w:val="restart"/>
            <w:tcBorders>
              <w:top w:val="single" w:color="auto" w:sz="4" w:space="0"/>
              <w:left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供应商服务方案</w:t>
            </w:r>
          </w:p>
          <w:p>
            <w:pPr>
              <w:spacing w:line="300" w:lineRule="auto"/>
              <w:jc w:val="center"/>
              <w:rPr>
                <w:b/>
                <w:color w:val="000000" w:themeColor="text1"/>
                <w:szCs w:val="21"/>
              </w:rPr>
            </w:pPr>
            <w:r>
              <w:rPr>
                <w:rFonts w:hint="eastAsia"/>
                <w:b/>
                <w:bCs/>
                <w:color w:val="000000" w:themeColor="text1"/>
                <w:szCs w:val="21"/>
              </w:rPr>
              <w:t>（</w:t>
            </w:r>
            <w:r>
              <w:rPr>
                <w:b/>
                <w:bCs/>
                <w:color w:val="000000" w:themeColor="text1"/>
                <w:szCs w:val="21"/>
              </w:rPr>
              <w:t>5</w:t>
            </w:r>
            <w:r>
              <w:rPr>
                <w:rFonts w:hint="eastAsia"/>
                <w:b/>
                <w:bCs/>
                <w:color w:val="000000" w:themeColor="text1"/>
                <w:szCs w:val="21"/>
              </w:rPr>
              <w:t>4分）</w:t>
            </w: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总体实施方案</w:t>
            </w:r>
            <w:r>
              <w:rPr>
                <w:b/>
                <w:color w:val="000000" w:themeColor="text1"/>
                <w:szCs w:val="21"/>
              </w:rPr>
              <w:t>：</w:t>
            </w:r>
          </w:p>
          <w:p>
            <w:pPr>
              <w:spacing w:line="300" w:lineRule="auto"/>
              <w:ind w:firstLine="440"/>
              <w:rPr>
                <w:bCs/>
                <w:color w:val="000000" w:themeColor="text1"/>
                <w:szCs w:val="21"/>
              </w:rPr>
            </w:pPr>
            <w:r>
              <w:rPr>
                <w:rFonts w:hint="eastAsia"/>
                <w:bCs/>
                <w:color w:val="000000" w:themeColor="text1"/>
                <w:szCs w:val="21"/>
              </w:rPr>
              <w:t>投标人应根据招标文件需求提供具体详实的总体实施方案。包括不限于卫生所管理工作安排、卫生消毒管理、医用废弃物处理等工作的实施。方案全面、科学合理、可行性强的，得6分；方案较为全面、较为科学合理、可行性较强的，得4分；方案略有欠缺，可行性还需完善的，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2.2</w:t>
            </w:r>
          </w:p>
        </w:tc>
        <w:tc>
          <w:tcPr>
            <w:tcW w:w="1345" w:type="dxa"/>
            <w:vMerge w:val="continue"/>
            <w:tcBorders>
              <w:left w:val="single" w:color="auto" w:sz="4" w:space="0"/>
              <w:right w:val="single" w:color="auto" w:sz="4" w:space="0"/>
            </w:tcBorders>
            <w:vAlign w:val="center"/>
          </w:tcPr>
          <w:p>
            <w:pPr>
              <w:spacing w:line="300" w:lineRule="auto"/>
              <w:jc w:val="center"/>
              <w:rPr>
                <w:b/>
                <w:bCs/>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学生的入学体检工作方案</w:t>
            </w:r>
            <w:r>
              <w:rPr>
                <w:b/>
                <w:color w:val="000000" w:themeColor="text1"/>
                <w:szCs w:val="21"/>
              </w:rPr>
              <w:t>：</w:t>
            </w:r>
          </w:p>
          <w:p>
            <w:pPr>
              <w:spacing w:line="300" w:lineRule="auto"/>
              <w:ind w:firstLine="440"/>
              <w:rPr>
                <w:bCs/>
                <w:color w:val="000000" w:themeColor="text1"/>
                <w:szCs w:val="21"/>
              </w:rPr>
            </w:pPr>
            <w:r>
              <w:rPr>
                <w:rFonts w:hint="eastAsia"/>
                <w:bCs/>
                <w:color w:val="000000" w:themeColor="text1"/>
                <w:szCs w:val="21"/>
              </w:rPr>
              <w:t>投标人应制定学生的入学体检工作方案，包括但不限于体检医务人员组织、医疗咨询、体检所需设备仪器、体检异常数据反馈、体检健康档案建立等。方案全面、组织安排合理、可行性强的，得6分；方案较为全面、较为组织合理、可行性较强的，得4分；方案略有欠缺，可行性还需完善的，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w:t>
            </w:r>
            <w:r>
              <w:rPr>
                <w:b/>
                <w:color w:val="000000" w:themeColor="text1"/>
                <w:szCs w:val="21"/>
              </w:rPr>
              <w:t>.</w:t>
            </w:r>
            <w:r>
              <w:rPr>
                <w:rFonts w:hint="eastAsia"/>
                <w:b/>
                <w:color w:val="000000" w:themeColor="text1"/>
                <w:szCs w:val="21"/>
              </w:rPr>
              <w:t>3</w:t>
            </w:r>
          </w:p>
        </w:tc>
        <w:tc>
          <w:tcPr>
            <w:tcW w:w="1345" w:type="dxa"/>
            <w:vMerge w:val="continue"/>
            <w:tcBorders>
              <w:left w:val="single" w:color="auto" w:sz="4" w:space="0"/>
              <w:right w:val="single" w:color="auto" w:sz="4" w:space="0"/>
            </w:tcBorders>
            <w:vAlign w:val="center"/>
          </w:tcPr>
          <w:p>
            <w:pPr>
              <w:spacing w:line="300" w:lineRule="auto"/>
              <w:rPr>
                <w:b/>
                <w:bCs/>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校内医疗应急服务方案</w:t>
            </w:r>
            <w:r>
              <w:rPr>
                <w:b/>
                <w:color w:val="000000" w:themeColor="text1"/>
                <w:szCs w:val="21"/>
              </w:rPr>
              <w:t>：</w:t>
            </w:r>
          </w:p>
          <w:p>
            <w:pPr>
              <w:spacing w:line="300" w:lineRule="auto"/>
              <w:ind w:firstLine="420" w:firstLineChars="200"/>
              <w:rPr>
                <w:bCs/>
                <w:color w:val="000000" w:themeColor="text1"/>
                <w:szCs w:val="21"/>
              </w:rPr>
            </w:pPr>
            <w:r>
              <w:rPr>
                <w:rFonts w:hint="eastAsia"/>
                <w:bCs/>
                <w:color w:val="000000" w:themeColor="text1"/>
                <w:szCs w:val="21"/>
              </w:rPr>
              <w:t>投标人应针对本项目特点，制订校内医疗应急服务方案，围绕项目实施全流程，涵盖风险预判、应急响应机制、标准化处置流程及善后保障措施等核心要素。包括但不限于托管服务过程中出现的急、重症病人抢救与转诊、传染病突发、食物中毒、公共卫生突发事件对应措施、医疗事故处理、突发事件人员调动及响应时间、大病就医绿色通道建立等。方案全面、科学合理、可行性强的，得6分；方案较为全面、较为科学合理、可行性较强的，得4分；方案略有欠缺，可行性还需完善的，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2.4</w:t>
            </w:r>
          </w:p>
        </w:tc>
        <w:tc>
          <w:tcPr>
            <w:tcW w:w="1345" w:type="dxa"/>
            <w:vMerge w:val="continue"/>
            <w:tcBorders>
              <w:left w:val="single" w:color="auto" w:sz="4" w:space="0"/>
              <w:right w:val="single" w:color="auto" w:sz="4" w:space="0"/>
            </w:tcBorders>
            <w:vAlign w:val="center"/>
          </w:tcPr>
          <w:p>
            <w:pPr>
              <w:spacing w:line="300" w:lineRule="auto"/>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内部管理制度：</w:t>
            </w:r>
          </w:p>
          <w:p>
            <w:pPr>
              <w:spacing w:line="300" w:lineRule="auto"/>
              <w:ind w:firstLine="420" w:firstLineChars="200"/>
              <w:rPr>
                <w:bCs/>
                <w:color w:val="000000" w:themeColor="text1"/>
                <w:szCs w:val="21"/>
              </w:rPr>
            </w:pPr>
            <w:r>
              <w:rPr>
                <w:rFonts w:hint="eastAsia"/>
                <w:bCs/>
                <w:color w:val="000000" w:themeColor="text1"/>
                <w:szCs w:val="21"/>
              </w:rPr>
              <w:t>投标人应根据招标文件要求及本项目特点，制定内部管理制度。包括不限于服务管理制度、岗位制度、人员考核及培训制度等。方案全面、科学合理、可行性强的，得6分；方案较为全面、较为科学合理、可行性较强的，得4分；方案略有欠缺，可行性还需完善的，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2.5</w:t>
            </w:r>
          </w:p>
        </w:tc>
        <w:tc>
          <w:tcPr>
            <w:tcW w:w="1345" w:type="dxa"/>
            <w:vMerge w:val="continue"/>
            <w:tcBorders>
              <w:left w:val="single" w:color="auto" w:sz="4" w:space="0"/>
              <w:right w:val="single" w:color="auto" w:sz="4" w:space="0"/>
            </w:tcBorders>
            <w:vAlign w:val="center"/>
          </w:tcPr>
          <w:p>
            <w:pPr>
              <w:spacing w:line="300" w:lineRule="auto"/>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药品与医疗设备保障方案：</w:t>
            </w:r>
          </w:p>
          <w:p>
            <w:pPr>
              <w:spacing w:line="300" w:lineRule="auto"/>
              <w:ind w:firstLine="420" w:firstLineChars="200"/>
              <w:rPr>
                <w:bCs/>
                <w:color w:val="000000" w:themeColor="text1"/>
                <w:szCs w:val="21"/>
              </w:rPr>
            </w:pPr>
            <w:r>
              <w:rPr>
                <w:rFonts w:hint="eastAsia"/>
                <w:bCs/>
                <w:color w:val="000000" w:themeColor="text1"/>
                <w:szCs w:val="21"/>
              </w:rPr>
              <w:t>投标人应根据招标文件需求要求及本项目特点，制订药品与医疗设备保障方案。包括不限于①常用药、急救药配备、药品进货渠道、药品保管制度、发药记录等②拟投入设备情况（如血压计、急救箱、氧气袋、AED等）、提供拟投入设备清单、品牌、型号、市场价格等。方案全面、科学合理、管理规范、保障力强，得6分；方案较为全面、较为科学合理、管理较规范、保障力较强的，得4分；方案略有欠缺，管理及保障力还需完善的，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2.6</w:t>
            </w:r>
          </w:p>
        </w:tc>
        <w:tc>
          <w:tcPr>
            <w:tcW w:w="1345" w:type="dxa"/>
            <w:vMerge w:val="continue"/>
            <w:tcBorders>
              <w:left w:val="single" w:color="auto" w:sz="4" w:space="0"/>
              <w:right w:val="single" w:color="auto" w:sz="4" w:space="0"/>
            </w:tcBorders>
            <w:vAlign w:val="center"/>
          </w:tcPr>
          <w:p>
            <w:pPr>
              <w:spacing w:line="300" w:lineRule="auto"/>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健康教育、知识培训：</w:t>
            </w:r>
          </w:p>
          <w:p>
            <w:pPr>
              <w:spacing w:line="300" w:lineRule="auto"/>
              <w:ind w:firstLine="420" w:firstLineChars="200"/>
              <w:rPr>
                <w:bCs/>
                <w:color w:val="000000" w:themeColor="text1"/>
                <w:szCs w:val="21"/>
              </w:rPr>
            </w:pPr>
            <w:r>
              <w:rPr>
                <w:rFonts w:hint="eastAsia"/>
                <w:bCs/>
                <w:color w:val="000000" w:themeColor="text1"/>
                <w:szCs w:val="21"/>
              </w:rPr>
              <w:t>投标人应根据招标文件要求及本项目特点，制订健康教育、知识培训方案。制定宣传及培训计划、组织方式等。每学期开展相关医疗知识宣传活动，活动主题聚焦传染病防治、急救技能普及、健康减重指导等重点领域。方案全面、科学合理、可行性强的，得6分；方案较为全面、较为科学合理、可行性较强的，得4分；方案略有欠缺，可行性还需完善的，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2.7</w:t>
            </w:r>
          </w:p>
        </w:tc>
        <w:tc>
          <w:tcPr>
            <w:tcW w:w="1345" w:type="dxa"/>
            <w:vMerge w:val="continue"/>
            <w:tcBorders>
              <w:left w:val="single" w:color="auto" w:sz="4" w:space="0"/>
              <w:right w:val="single" w:color="auto" w:sz="4" w:space="0"/>
            </w:tcBorders>
            <w:vAlign w:val="center"/>
          </w:tcPr>
          <w:p>
            <w:pPr>
              <w:spacing w:line="300" w:lineRule="auto"/>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服务承诺方案：</w:t>
            </w:r>
          </w:p>
          <w:p>
            <w:pPr>
              <w:spacing w:line="300" w:lineRule="auto"/>
              <w:ind w:firstLine="420" w:firstLineChars="200"/>
              <w:rPr>
                <w:bCs/>
                <w:color w:val="000000" w:themeColor="text1"/>
                <w:szCs w:val="21"/>
              </w:rPr>
            </w:pPr>
            <w:r>
              <w:rPr>
                <w:rFonts w:hint="eastAsia"/>
                <w:bCs/>
                <w:color w:val="000000" w:themeColor="text1"/>
                <w:szCs w:val="21"/>
              </w:rPr>
              <w:t>投标人应根据招标文件要求及本项目特点，制订服务承诺方案。包含项目需求响应情况、服务质量承诺、增值服务等。服务承诺全面、能完全满足项目需求、增值服务较好的，得6分；承诺较为全面、能满足全部项目需求、增值服务一般，得4分；承诺略有欠缺，不能全部满足项目需求、增值服务较差，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2.8</w:t>
            </w:r>
          </w:p>
        </w:tc>
        <w:tc>
          <w:tcPr>
            <w:tcW w:w="1345" w:type="dxa"/>
            <w:vMerge w:val="continue"/>
            <w:tcBorders>
              <w:left w:val="single" w:color="auto" w:sz="4" w:space="0"/>
              <w:right w:val="single" w:color="auto" w:sz="4" w:space="0"/>
            </w:tcBorders>
            <w:vAlign w:val="center"/>
          </w:tcPr>
          <w:p>
            <w:pPr>
              <w:spacing w:line="300" w:lineRule="auto"/>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人员配置方案：</w:t>
            </w:r>
          </w:p>
          <w:p>
            <w:pPr>
              <w:spacing w:line="300" w:lineRule="auto"/>
              <w:ind w:firstLine="420" w:firstLineChars="200"/>
              <w:rPr>
                <w:bCs/>
                <w:color w:val="000000" w:themeColor="text1"/>
                <w:szCs w:val="21"/>
              </w:rPr>
            </w:pPr>
            <w:bookmarkStart w:id="101" w:name="OLE_LINK8"/>
            <w:r>
              <w:rPr>
                <w:rFonts w:hint="eastAsia"/>
                <w:bCs/>
                <w:color w:val="000000" w:themeColor="text1"/>
                <w:szCs w:val="21"/>
              </w:rPr>
              <w:t>投标人应根据招标文件要求</w:t>
            </w:r>
            <w:bookmarkEnd w:id="101"/>
            <w:r>
              <w:rPr>
                <w:rFonts w:hint="eastAsia"/>
                <w:bCs/>
                <w:color w:val="000000" w:themeColor="text1"/>
                <w:szCs w:val="21"/>
              </w:rPr>
              <w:t>及本项目特点，制订人员配置方案。医务人员应满足招标文件要求，并根据招标文件要求制定校区人员计划安排、日常24小时白天和夜间人员配置计划等。方案全面、科学合理、可行性强的，得6分；方案较为全面、较为科学合理、可行性较强的，得4分；方案略有欠缺，可行性还需完善的，得2分；不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hint="eastAsia"/>
                <w:b/>
                <w:color w:val="000000" w:themeColor="text1"/>
                <w:szCs w:val="21"/>
              </w:rPr>
            </w:pPr>
            <w:r>
              <w:rPr>
                <w:rFonts w:hint="eastAsia"/>
                <w:b/>
                <w:color w:val="000000" w:themeColor="text1"/>
                <w:szCs w:val="21"/>
              </w:rPr>
              <w:t>2.9</w:t>
            </w:r>
          </w:p>
        </w:tc>
        <w:tc>
          <w:tcPr>
            <w:tcW w:w="1345" w:type="dxa"/>
            <w:tcBorders>
              <w:left w:val="single" w:color="auto" w:sz="4" w:space="0"/>
              <w:right w:val="single" w:color="auto" w:sz="4" w:space="0"/>
            </w:tcBorders>
            <w:vAlign w:val="center"/>
          </w:tcPr>
          <w:p>
            <w:pPr>
              <w:spacing w:line="300" w:lineRule="auto"/>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rFonts w:hint="eastAsia"/>
                <w:b/>
                <w:color w:val="000000" w:themeColor="text1"/>
                <w:szCs w:val="21"/>
              </w:rPr>
            </w:pPr>
            <w:r>
              <w:rPr>
                <w:b/>
                <w:color w:val="000000" w:themeColor="text1"/>
                <w:szCs w:val="21"/>
              </w:rPr>
              <w:t>本项目的重点难点及解决方案：</w:t>
            </w:r>
          </w:p>
          <w:p>
            <w:pPr>
              <w:spacing w:line="300" w:lineRule="auto"/>
              <w:ind w:firstLine="420" w:firstLineChars="200"/>
              <w:rPr>
                <w:rFonts w:hint="eastAsia"/>
                <w:b/>
                <w:color w:val="000000" w:themeColor="text1"/>
                <w:szCs w:val="21"/>
              </w:rPr>
            </w:pPr>
            <w:r>
              <w:rPr>
                <w:rFonts w:ascii="宋体" w:hAnsi="宋体" w:cs="宋体"/>
                <w:snapToGrid w:val="0"/>
                <w:color w:val="000000"/>
                <w:szCs w:val="21"/>
                <w:lang w:val="zh-CN" w:bidi="zh-CN"/>
              </w:rPr>
              <w:t>评委根据供应商提供的重点难点及解决方案进行评分，重点难点及解决方案合理、可行、针对性强得</w:t>
            </w:r>
            <w:r>
              <w:rPr>
                <w:rFonts w:hint="eastAsia" w:ascii="宋体" w:hAnsi="宋体" w:cs="宋体"/>
                <w:snapToGrid w:val="0"/>
                <w:color w:val="000000"/>
                <w:szCs w:val="21"/>
                <w:lang w:val="zh-CN" w:bidi="zh-CN"/>
              </w:rPr>
              <w:t>6</w:t>
            </w:r>
            <w:r>
              <w:rPr>
                <w:rFonts w:ascii="宋体" w:hAnsi="宋体" w:cs="宋体"/>
                <w:snapToGrid w:val="0"/>
                <w:color w:val="000000"/>
                <w:szCs w:val="21"/>
                <w:lang w:val="zh-CN" w:bidi="zh-CN"/>
              </w:rPr>
              <w:t>分，重点难点及解决方案合理、较可行、针对性较强得</w:t>
            </w:r>
            <w:r>
              <w:rPr>
                <w:rFonts w:hint="eastAsia" w:ascii="宋体" w:hAnsi="宋体" w:cs="宋体"/>
                <w:snapToGrid w:val="0"/>
                <w:color w:val="000000"/>
                <w:szCs w:val="21"/>
                <w:lang w:val="zh-CN" w:bidi="zh-CN"/>
              </w:rPr>
              <w:t>4</w:t>
            </w:r>
            <w:r>
              <w:rPr>
                <w:rFonts w:ascii="宋体" w:hAnsi="宋体" w:cs="宋体"/>
                <w:snapToGrid w:val="0"/>
                <w:color w:val="000000"/>
                <w:szCs w:val="21"/>
                <w:lang w:val="zh-CN" w:bidi="zh-CN"/>
              </w:rPr>
              <w:t>分，重点难点及解决方案合理、可行、针对性一般得</w:t>
            </w:r>
            <w:r>
              <w:rPr>
                <w:rFonts w:hint="eastAsia" w:ascii="宋体" w:hAnsi="宋体" w:cs="宋体"/>
                <w:snapToGrid w:val="0"/>
                <w:color w:val="000000"/>
                <w:szCs w:val="21"/>
                <w:lang w:val="zh-CN" w:bidi="zh-CN"/>
              </w:rPr>
              <w:t>2</w:t>
            </w:r>
            <w:r>
              <w:rPr>
                <w:rFonts w:ascii="宋体" w:hAnsi="宋体" w:cs="宋体"/>
                <w:snapToGrid w:val="0"/>
                <w:color w:val="000000"/>
                <w:szCs w:val="21"/>
                <w:lang w:val="zh-CN" w:bidi="zh-CN"/>
              </w:rPr>
              <w:t>分，未提供不得分。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hint="eastAsia"/>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3</w:t>
            </w:r>
            <w:r>
              <w:rPr>
                <w:b/>
                <w:color w:val="000000" w:themeColor="text1"/>
                <w:szCs w:val="21"/>
              </w:rPr>
              <w:t>.1</w:t>
            </w:r>
          </w:p>
        </w:tc>
        <w:tc>
          <w:tcPr>
            <w:tcW w:w="1345" w:type="dxa"/>
            <w:vMerge w:val="restart"/>
            <w:tcBorders>
              <w:top w:val="single" w:color="auto" w:sz="4" w:space="0"/>
              <w:left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响应供应商履约能力</w:t>
            </w:r>
            <w:r>
              <w:rPr>
                <w:b/>
                <w:color w:val="000000" w:themeColor="text1"/>
                <w:szCs w:val="21"/>
              </w:rPr>
              <w:t>（</w:t>
            </w:r>
            <w:r>
              <w:rPr>
                <w:rFonts w:hint="eastAsia"/>
                <w:b/>
                <w:color w:val="000000" w:themeColor="text1"/>
                <w:szCs w:val="21"/>
              </w:rPr>
              <w:t>36</w:t>
            </w:r>
            <w:r>
              <w:rPr>
                <w:b/>
                <w:color w:val="000000" w:themeColor="text1"/>
                <w:szCs w:val="21"/>
              </w:rPr>
              <w:t>分）</w:t>
            </w:r>
          </w:p>
        </w:tc>
        <w:tc>
          <w:tcPr>
            <w:tcW w:w="7073" w:type="dxa"/>
            <w:tcBorders>
              <w:top w:val="single" w:color="auto" w:sz="4" w:space="0"/>
              <w:left w:val="single" w:color="auto" w:sz="4" w:space="0"/>
              <w:bottom w:val="single" w:color="auto" w:sz="4" w:space="0"/>
              <w:right w:val="single" w:color="auto" w:sz="4" w:space="0"/>
            </w:tcBorders>
            <w:vAlign w:val="center"/>
          </w:tcPr>
          <w:p>
            <w:pPr>
              <w:spacing w:before="40" w:after="40" w:line="300" w:lineRule="auto"/>
              <w:rPr>
                <w:b/>
                <w:bCs/>
                <w:color w:val="000000" w:themeColor="text1"/>
                <w:szCs w:val="21"/>
              </w:rPr>
            </w:pPr>
            <w:r>
              <w:rPr>
                <w:rFonts w:hint="eastAsia"/>
                <w:b/>
                <w:bCs/>
                <w:color w:val="000000" w:themeColor="text1"/>
                <w:szCs w:val="21"/>
              </w:rPr>
              <w:t>拟派校区负责人</w:t>
            </w:r>
            <w:r>
              <w:rPr>
                <w:b/>
                <w:bCs/>
                <w:color w:val="000000" w:themeColor="text1"/>
                <w:szCs w:val="21"/>
              </w:rPr>
              <w:t>：</w:t>
            </w:r>
            <w:r>
              <w:rPr>
                <w:rFonts w:hint="eastAsia"/>
                <w:color w:val="000000" w:themeColor="text1"/>
                <w:szCs w:val="21"/>
              </w:rPr>
              <w:t>（1）拟派负责人要求具有3年及以上相关工作经验，且具有医护类高级及以上职称的得6分，具有医护类中级职称的得3分。</w:t>
            </w:r>
          </w:p>
          <w:p>
            <w:pPr>
              <w:spacing w:line="300" w:lineRule="auto"/>
              <w:rPr>
                <w:color w:val="000000" w:themeColor="text1"/>
                <w:szCs w:val="21"/>
              </w:rPr>
            </w:pPr>
            <w:r>
              <w:rPr>
                <w:rFonts w:hint="eastAsia"/>
                <w:color w:val="000000" w:themeColor="text1"/>
                <w:szCs w:val="21"/>
              </w:rPr>
              <w:t>（提供有效证书复印件以及工作经验证明复印件</w:t>
            </w:r>
            <w:r>
              <w:rPr>
                <w:rFonts w:hint="eastAsia"/>
                <w:bCs/>
                <w:color w:val="000000" w:themeColor="text1"/>
                <w:szCs w:val="21"/>
              </w:rPr>
              <w:t>并加盖公章扫描上传至电子响应文件中，工作经验证明以在本单位缴纳社保开始时间为准</w:t>
            </w:r>
            <w:r>
              <w:rPr>
                <w:rFonts w:hint="eastAsia"/>
                <w:color w:val="000000" w:themeColor="text1"/>
                <w:szCs w:val="21"/>
              </w:rPr>
              <w:t>）</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3.2</w:t>
            </w:r>
          </w:p>
        </w:tc>
        <w:tc>
          <w:tcPr>
            <w:tcW w:w="1345" w:type="dxa"/>
            <w:vMerge w:val="continue"/>
            <w:tcBorders>
              <w:left w:val="single" w:color="auto" w:sz="4" w:space="0"/>
              <w:right w:val="single" w:color="auto" w:sz="4" w:space="0"/>
            </w:tcBorders>
            <w:vAlign w:val="center"/>
          </w:tcPr>
          <w:p>
            <w:pPr>
              <w:spacing w:line="300" w:lineRule="auto"/>
              <w:jc w:val="center"/>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拟派医护团队成员状况（负责人除外）：</w:t>
            </w:r>
          </w:p>
          <w:p>
            <w:pPr>
              <w:spacing w:line="300" w:lineRule="auto"/>
              <w:ind w:firstLine="440"/>
              <w:rPr>
                <w:bCs/>
                <w:color w:val="000000" w:themeColor="text1"/>
                <w:szCs w:val="21"/>
              </w:rPr>
            </w:pPr>
            <w:r>
              <w:rPr>
                <w:rFonts w:hint="eastAsia"/>
                <w:bCs/>
                <w:color w:val="000000" w:themeColor="text1"/>
                <w:szCs w:val="21"/>
              </w:rPr>
              <w:t>（1）委派医生具有执业医师证书且有中级（含）以上职称，每提供一人得2分，最多得4分。</w:t>
            </w:r>
          </w:p>
          <w:p>
            <w:pPr>
              <w:spacing w:line="300" w:lineRule="auto"/>
              <w:ind w:firstLine="440"/>
              <w:rPr>
                <w:bCs/>
                <w:color w:val="000000" w:themeColor="text1"/>
                <w:szCs w:val="21"/>
              </w:rPr>
            </w:pPr>
            <w:r>
              <w:rPr>
                <w:rFonts w:hint="eastAsia"/>
                <w:bCs/>
                <w:color w:val="000000" w:themeColor="text1"/>
                <w:szCs w:val="21"/>
              </w:rPr>
              <w:t>（2）委派护士具有护士执业证书且具有护师（含）以上职称,提供一人得1分，最多得3分。</w:t>
            </w:r>
          </w:p>
          <w:p>
            <w:pPr>
              <w:spacing w:line="300" w:lineRule="auto"/>
              <w:ind w:firstLine="440"/>
              <w:rPr>
                <w:bCs/>
                <w:color w:val="000000" w:themeColor="text1"/>
                <w:szCs w:val="21"/>
              </w:rPr>
            </w:pPr>
            <w:r>
              <w:rPr>
                <w:rFonts w:hint="eastAsia"/>
                <w:bCs/>
                <w:color w:val="000000" w:themeColor="text1"/>
                <w:szCs w:val="21"/>
              </w:rPr>
              <w:t>本项最高得7分。（需提供有效证书复印件并加盖公章扫描上传至电子响应文件中，同一人不可重复得分）</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6"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3.3</w:t>
            </w:r>
          </w:p>
        </w:tc>
        <w:tc>
          <w:tcPr>
            <w:tcW w:w="1345" w:type="dxa"/>
            <w:vMerge w:val="continue"/>
            <w:tcBorders>
              <w:left w:val="single" w:color="auto" w:sz="4" w:space="0"/>
              <w:right w:val="single" w:color="auto" w:sz="4" w:space="0"/>
            </w:tcBorders>
            <w:vAlign w:val="center"/>
          </w:tcPr>
          <w:p>
            <w:pPr>
              <w:spacing w:line="300" w:lineRule="auto"/>
              <w:jc w:val="center"/>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同类业绩：</w:t>
            </w:r>
          </w:p>
          <w:p>
            <w:pPr>
              <w:spacing w:line="300" w:lineRule="auto"/>
              <w:ind w:firstLine="420"/>
              <w:rPr>
                <w:bCs/>
                <w:color w:val="000000" w:themeColor="text1"/>
                <w:szCs w:val="21"/>
              </w:rPr>
            </w:pPr>
            <w:r>
              <w:rPr>
                <w:rFonts w:hint="eastAsia"/>
                <w:bCs/>
                <w:color w:val="000000" w:themeColor="text1"/>
                <w:szCs w:val="21"/>
              </w:rPr>
              <w:t>自2023年1月1日以来（含，以合同签订时间为准）承担过类似本项目医疗托管案例的，每提供一个案例得3分，最多得15分，未按要求提供的，不得分。（需要同时提供合同复印件和中标通知书加盖供应商公章扫描上传至电子响应文件中，合同复印件至少包括合同的甲乙双方、采购内容、双方签章及生效时间，并对真实性负责，提供材料不齐全不予认可）。</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color w:val="000000" w:themeColor="text1"/>
                <w:szCs w:val="21"/>
              </w:rPr>
            </w:pPr>
            <w:r>
              <w:rPr>
                <w:rFonts w:hint="eastAsia"/>
                <w:b/>
                <w:color w:val="000000" w:themeColor="text1"/>
                <w:szCs w:val="21"/>
              </w:rPr>
              <w:t>3</w:t>
            </w:r>
            <w:r>
              <w:rPr>
                <w:b/>
                <w:color w:val="000000" w:themeColor="text1"/>
                <w:szCs w:val="21"/>
              </w:rPr>
              <w:t>.</w:t>
            </w:r>
            <w:r>
              <w:rPr>
                <w:rFonts w:hint="eastAsia"/>
                <w:b/>
                <w:color w:val="000000" w:themeColor="text1"/>
                <w:szCs w:val="21"/>
              </w:rPr>
              <w:t>4</w:t>
            </w:r>
          </w:p>
        </w:tc>
        <w:tc>
          <w:tcPr>
            <w:tcW w:w="1345" w:type="dxa"/>
            <w:vMerge w:val="continue"/>
            <w:tcBorders>
              <w:left w:val="single" w:color="auto" w:sz="4" w:space="0"/>
              <w:right w:val="single" w:color="auto" w:sz="4" w:space="0"/>
            </w:tcBorders>
            <w:vAlign w:val="center"/>
          </w:tcPr>
          <w:p>
            <w:pPr>
              <w:spacing w:line="300" w:lineRule="auto"/>
              <w:rPr>
                <w:b/>
                <w:color w:val="000000" w:themeColor="text1"/>
                <w:szCs w:val="21"/>
              </w:rPr>
            </w:pPr>
          </w:p>
        </w:tc>
        <w:tc>
          <w:tcPr>
            <w:tcW w:w="7073" w:type="dxa"/>
            <w:tcBorders>
              <w:top w:val="single" w:color="auto" w:sz="4" w:space="0"/>
              <w:left w:val="single" w:color="auto" w:sz="4" w:space="0"/>
              <w:bottom w:val="single" w:color="auto" w:sz="4" w:space="0"/>
              <w:right w:val="single" w:color="auto" w:sz="4" w:space="0"/>
            </w:tcBorders>
            <w:vAlign w:val="center"/>
          </w:tcPr>
          <w:p>
            <w:pPr>
              <w:spacing w:line="300" w:lineRule="auto"/>
              <w:rPr>
                <w:b/>
                <w:color w:val="000000" w:themeColor="text1"/>
                <w:szCs w:val="21"/>
              </w:rPr>
            </w:pPr>
            <w:r>
              <w:rPr>
                <w:rFonts w:hint="eastAsia"/>
                <w:b/>
                <w:color w:val="000000" w:themeColor="text1"/>
                <w:szCs w:val="21"/>
              </w:rPr>
              <w:t>业主评价：</w:t>
            </w:r>
          </w:p>
          <w:p>
            <w:pPr>
              <w:spacing w:line="300" w:lineRule="auto"/>
              <w:ind w:firstLine="440"/>
              <w:rPr>
                <w:bCs/>
                <w:color w:val="000000" w:themeColor="text1"/>
                <w:szCs w:val="21"/>
              </w:rPr>
            </w:pPr>
            <w:r>
              <w:rPr>
                <w:rFonts w:hint="eastAsia"/>
                <w:bCs/>
                <w:color w:val="000000" w:themeColor="text1"/>
                <w:szCs w:val="21"/>
              </w:rPr>
              <w:t>自2023年1月1日以来（含，以合同签订时间为准），提供业主单位对其表彰或评价，评价优秀或同等次描述的，评价优秀一个得2分，满分8分。（需要同时提供合同复印件、中标通知书复印件、业主单位评价证明盖章材料复印件加盖供应商公章扫描上传至电子响应文件中，合同复印件至少包括合同的甲乙双方、采购内容、双方签章及生效时间，并对真实性负责，提供材料不齐全不予认可）</w:t>
            </w:r>
          </w:p>
        </w:tc>
        <w:tc>
          <w:tcPr>
            <w:tcW w:w="777"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b/>
                <w:bCs/>
                <w:color w:val="000000" w:themeColor="text1"/>
                <w:szCs w:val="21"/>
              </w:rPr>
            </w:pPr>
            <w:r>
              <w:rPr>
                <w:rFonts w:hint="eastAsia"/>
                <w:b/>
                <w:bCs/>
                <w:color w:val="000000" w:themeColor="text1"/>
                <w:szCs w:val="21"/>
              </w:rPr>
              <w:t>8</w:t>
            </w:r>
          </w:p>
        </w:tc>
      </w:tr>
    </w:tbl>
    <w:p>
      <w:pPr>
        <w:spacing w:line="360" w:lineRule="auto"/>
        <w:rPr>
          <w:rFonts w:cs="宋体" w:asciiTheme="minorEastAsia" w:hAnsiTheme="minorEastAsia" w:eastAsiaTheme="minorEastAsia"/>
          <w:b/>
          <w:bCs/>
          <w:szCs w:val="21"/>
        </w:rPr>
      </w:pPr>
    </w:p>
    <w:p>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说明：</w:t>
      </w:r>
    </w:p>
    <w:p>
      <w:pPr>
        <w:widowControl/>
        <w:shd w:val="clear" w:color="auto" w:fill="FFFFFF"/>
        <w:spacing w:line="360" w:lineRule="auto"/>
        <w:ind w:firstLine="412"/>
        <w:jc w:val="left"/>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1、所有认证、证明和业绩均需提供有效的扫描件，原件后期如有需要，采购人发放中标通知书前再行核验。</w:t>
      </w:r>
    </w:p>
    <w:p>
      <w:pPr>
        <w:widowControl/>
        <w:shd w:val="clear" w:color="auto" w:fill="FFFFFF"/>
        <w:spacing w:line="360" w:lineRule="auto"/>
        <w:ind w:firstLine="412"/>
        <w:jc w:val="left"/>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2、提供以上评标标准每项内容在投标文件中响应部分的页码。</w:t>
      </w:r>
    </w:p>
    <w:p>
      <w:pPr>
        <w:spacing w:line="360" w:lineRule="auto"/>
        <w:ind w:firstLine="480"/>
        <w:rPr>
          <w:rFonts w:ascii="宋体" w:hAnsi="宋体" w:cs="宋体"/>
          <w:sz w:val="24"/>
        </w:rPr>
      </w:pPr>
    </w:p>
    <w:p>
      <w:pPr>
        <w:spacing w:line="360" w:lineRule="auto"/>
        <w:ind w:firstLine="480"/>
        <w:rPr>
          <w:rFonts w:ascii="宋体" w:hAnsi="宋体" w:cs="宋体"/>
          <w:sz w:val="24"/>
        </w:rPr>
      </w:pPr>
    </w:p>
    <w:bookmarkEnd w:id="99"/>
    <w:bookmarkEnd w:id="100"/>
    <w:p>
      <w:pPr>
        <w:spacing w:line="360" w:lineRule="auto"/>
        <w:rPr>
          <w:rFonts w:ascii="宋体" w:hAnsi="宋体" w:cs="宋体"/>
          <w:b/>
          <w:szCs w:val="21"/>
        </w:rPr>
      </w:pPr>
    </w:p>
    <w:p>
      <w:pPr>
        <w:spacing w:line="360" w:lineRule="auto"/>
        <w:ind w:firstLine="480"/>
        <w:rPr>
          <w:rFonts w:ascii="宋体" w:hAnsi="宋体" w:cs="宋体"/>
          <w:sz w:val="24"/>
        </w:rPr>
      </w:pPr>
    </w:p>
    <w:p>
      <w:pPr>
        <w:spacing w:line="360" w:lineRule="auto"/>
        <w:rPr>
          <w:rFonts w:ascii="宋体" w:hAnsi="宋体" w:cs="宋体"/>
        </w:rPr>
      </w:pPr>
    </w:p>
    <w:p>
      <w:pPr>
        <w:pStyle w:val="12"/>
      </w:pPr>
    </w:p>
    <w:p>
      <w:pPr>
        <w:pStyle w:val="13"/>
      </w:pPr>
    </w:p>
    <w:p>
      <w:pPr>
        <w:pStyle w:val="203"/>
        <w:numPr>
          <w:ilvl w:val="0"/>
          <w:numId w:val="0"/>
        </w:numPr>
        <w:ind w:left="567"/>
        <w:rPr>
          <w:rFonts w:ascii="宋体" w:hAnsi="宋体" w:cs="宋体"/>
        </w:rPr>
      </w:pPr>
      <w:bookmarkStart w:id="102" w:name="_Toc14826"/>
      <w:bookmarkStart w:id="103" w:name="_Toc176529670"/>
      <w:r>
        <w:rPr>
          <w:rFonts w:hint="eastAsia" w:ascii="宋体" w:hAnsi="宋体" w:cs="宋体"/>
        </w:rPr>
        <w:t xml:space="preserve">第四章 </w:t>
      </w:r>
      <w:bookmarkEnd w:id="102"/>
      <w:bookmarkStart w:id="104" w:name="_Toc481057147"/>
      <w:bookmarkStart w:id="105" w:name="_Toc8808"/>
      <w:r>
        <w:rPr>
          <w:rFonts w:hint="eastAsia" w:ascii="宋体" w:hAnsi="宋体" w:cs="宋体"/>
        </w:rPr>
        <w:t>采购项目的内容和相关技术要求等</w:t>
      </w:r>
      <w:bookmarkEnd w:id="103"/>
    </w:p>
    <w:p>
      <w:pPr>
        <w:spacing w:line="440" w:lineRule="exact"/>
      </w:pPr>
      <w:r>
        <w:rPr>
          <w:rFonts w:hint="eastAsia"/>
        </w:rPr>
        <w:t>一、项目基本情况</w:t>
      </w:r>
    </w:p>
    <w:p>
      <w:pPr>
        <w:spacing w:line="440" w:lineRule="exact"/>
        <w:ind w:firstLine="420" w:firstLineChars="200"/>
        <w:rPr>
          <w:rFonts w:hint="eastAsia"/>
        </w:rPr>
      </w:pPr>
      <w:r>
        <w:rPr>
          <w:rFonts w:hint="eastAsia"/>
        </w:rPr>
        <w:t>项目编号：JSZC-320000-JSYC-G2026-0015</w:t>
      </w:r>
    </w:p>
    <w:p>
      <w:pPr>
        <w:spacing w:line="440" w:lineRule="exact"/>
        <w:ind w:firstLine="420" w:firstLineChars="200"/>
      </w:pPr>
      <w:r>
        <w:rPr>
          <w:rFonts w:hint="eastAsia"/>
        </w:rPr>
        <w:t>项目名称：江苏经贸职业技术学院医疗卫生保健服务委托</w:t>
      </w:r>
    </w:p>
    <w:p>
      <w:pPr>
        <w:spacing w:line="440" w:lineRule="exact"/>
        <w:ind w:firstLine="420" w:firstLineChars="200"/>
      </w:pPr>
      <w:r>
        <w:rPr>
          <w:rFonts w:hint="eastAsia"/>
        </w:rPr>
        <w:t>项目预算：120.288万元（40万/年，含招标代理费0.288万元），投标报价超过最高限价的为无效投标。</w:t>
      </w:r>
    </w:p>
    <w:p>
      <w:pPr>
        <w:spacing w:line="440" w:lineRule="exact"/>
        <w:ind w:firstLine="420" w:firstLineChars="200"/>
      </w:pPr>
      <w:r>
        <w:rPr>
          <w:rFonts w:hint="eastAsia"/>
        </w:rPr>
        <w:t>项目内容：拟招标一家医疗团队在</w:t>
      </w:r>
      <w:r>
        <w:t>江苏经贸职业技术学院江宁校区医务室服务，配备持证医护人员、合规医疗设备并承担相关人员薪资福利，落实 24 小时全天候规范医疗服务、零差价售药、传染病防控、健康宣教、大型活动医疗保障、新生体检等全部医疗卫生工作，承担全部医疗相关责任且不得转包服务，同时依规使用校园水电并承担超额费用。具体内容及人员配备详见招标文件采购要求。</w:t>
      </w:r>
    </w:p>
    <w:p>
      <w:pPr>
        <w:spacing w:line="440" w:lineRule="exact"/>
        <w:ind w:firstLine="420" w:firstLineChars="200"/>
        <w:rPr>
          <w:color w:val="FF0000"/>
        </w:rPr>
      </w:pPr>
      <w:r>
        <w:rPr>
          <w:rFonts w:hint="eastAsia"/>
        </w:rPr>
        <w:t>服务期：3年，2026年9月1日—2029年8月31日</w:t>
      </w:r>
      <w:r>
        <w:rPr>
          <w:rFonts w:hint="eastAsia" w:ascii="宋体" w:hAnsi="宋体" w:cs="宋体"/>
          <w:bCs/>
          <w:szCs w:val="21"/>
        </w:rPr>
        <w:t>（合同一年一签，</w:t>
      </w:r>
      <w:r>
        <w:rPr>
          <w:rFonts w:hint="eastAsia"/>
        </w:rPr>
        <w:t>根据项目服务对象满意度测评和学校《运维保障服务项目分期考核表》决定是否续签</w:t>
      </w:r>
      <w:r>
        <w:rPr>
          <w:rFonts w:hint="eastAsia" w:ascii="宋体" w:hAnsi="宋体" w:cs="宋体"/>
          <w:bCs/>
          <w:szCs w:val="21"/>
        </w:rPr>
        <w:t>）</w:t>
      </w:r>
    </w:p>
    <w:p>
      <w:pPr>
        <w:spacing w:line="440" w:lineRule="exact"/>
      </w:pPr>
      <w:r>
        <w:rPr>
          <w:rFonts w:hint="eastAsia"/>
        </w:rPr>
        <w:t>二、具体服务要求（商务条款）：</w:t>
      </w:r>
    </w:p>
    <w:p>
      <w:pPr>
        <w:widowControl/>
        <w:shd w:val="clear" w:color="auto" w:fill="FFFFFF"/>
        <w:adjustRightInd w:val="0"/>
        <w:spacing w:line="440" w:lineRule="exact"/>
        <w:ind w:firstLine="420" w:firstLineChars="200"/>
      </w:pPr>
      <w:r>
        <w:rPr>
          <w:rFonts w:hint="eastAsia"/>
        </w:rPr>
        <w:t>1、江苏经贸职业技术学院医务室设立在江宁校区，提供医疗机构执业许可证、办公需要的医疗用房、基本办公设备。</w:t>
      </w:r>
    </w:p>
    <w:p>
      <w:pPr>
        <w:widowControl/>
        <w:shd w:val="clear" w:color="auto" w:fill="FFFFFF"/>
        <w:adjustRightInd w:val="0"/>
        <w:spacing w:line="440" w:lineRule="exact"/>
        <w:ind w:firstLine="420" w:firstLineChars="200"/>
      </w:pPr>
      <w:r>
        <w:rPr>
          <w:rFonts w:hint="eastAsia"/>
        </w:rPr>
        <w:t>2、医疗卫生服务工作必须按照国家对高等学校医疗保健的有关规定和卫生部门对医疗保健管理的相关要求，遵守相关的法律法规，为学校提供规范化的医疗卫生服务。</w:t>
      </w:r>
    </w:p>
    <w:p>
      <w:pPr>
        <w:widowControl/>
        <w:shd w:val="clear" w:color="auto" w:fill="FFFFFF"/>
        <w:adjustRightInd w:val="0"/>
        <w:spacing w:line="440" w:lineRule="exact"/>
        <w:ind w:firstLine="420" w:firstLineChars="200"/>
      </w:pPr>
      <w:r>
        <w:rPr>
          <w:rFonts w:hint="eastAsia"/>
        </w:rPr>
        <w:t>3、安排在学校医务室工作的医务人员必须具有相应执业资格，安排的医务人员的工资报酬及劳保、保险等一切福利待遇，由中标方负责承担。</w:t>
      </w:r>
    </w:p>
    <w:p>
      <w:pPr>
        <w:widowControl/>
        <w:shd w:val="clear" w:color="auto" w:fill="FFFFFF"/>
        <w:adjustRightInd w:val="0"/>
        <w:spacing w:line="440" w:lineRule="exact"/>
        <w:ind w:firstLine="420" w:firstLineChars="200"/>
      </w:pPr>
      <w:r>
        <w:rPr>
          <w:rFonts w:hint="eastAsia"/>
        </w:rPr>
        <w:t>4、根据高校医疗保健工作需要，按国家有关规定给医务室配备常规医疗设备和抢救设施</w:t>
      </w:r>
      <w:r>
        <w:t>(</w:t>
      </w:r>
      <w:r>
        <w:rPr>
          <w:rFonts w:hint="eastAsia"/>
        </w:rPr>
        <w:t>所有权归中标方所有</w:t>
      </w:r>
      <w:r>
        <w:t>)</w:t>
      </w:r>
      <w:r>
        <w:rPr>
          <w:rFonts w:hint="eastAsia"/>
        </w:rPr>
        <w:t>。中标方必须确保配备的上述医疗设备符合国家相关卫生标准、质量标准。</w:t>
      </w:r>
    </w:p>
    <w:p>
      <w:pPr>
        <w:widowControl/>
        <w:shd w:val="clear" w:color="auto" w:fill="FFFFFF"/>
        <w:adjustRightInd w:val="0"/>
        <w:spacing w:line="440" w:lineRule="exact"/>
        <w:ind w:firstLine="420" w:firstLineChars="200"/>
      </w:pPr>
      <w:r>
        <w:rPr>
          <w:rFonts w:hint="eastAsia"/>
        </w:rPr>
        <w:t>5、提供全年24小时医疗服务，保证白天有3名医务人员在岗（至少1名</w:t>
      </w:r>
      <w:r>
        <w:t>执</w:t>
      </w:r>
      <w:r>
        <w:rPr>
          <w:rFonts w:hint="eastAsia"/>
        </w:rPr>
        <w:t>业医师），晚上有2名医务人员在岗（至少1名执业医师），并根据学校教学作息时间具体安排服务时间。工作期间，医务人员不得擅自离岗。</w:t>
      </w:r>
    </w:p>
    <w:p>
      <w:pPr>
        <w:widowControl/>
        <w:shd w:val="clear" w:color="auto" w:fill="FFFFFF"/>
        <w:adjustRightInd w:val="0"/>
        <w:spacing w:line="440" w:lineRule="exact"/>
        <w:ind w:firstLine="420" w:firstLineChars="200"/>
      </w:pPr>
      <w:r>
        <w:rPr>
          <w:rFonts w:hint="eastAsia"/>
        </w:rPr>
        <w:t>6、保证医务室（医保定点窗口）售药品质量符合国家标准，药品价格按要求实行零差价，免收挂号费。诊疗费按国家规定收取，各项医疗收费、药品价格及管理制度明示上墙。认真执行国家各种卫生法规，并自觉遵守甲方各项规章制度。</w:t>
      </w:r>
    </w:p>
    <w:p>
      <w:pPr>
        <w:widowControl/>
        <w:shd w:val="clear" w:color="auto" w:fill="FFFFFF"/>
        <w:adjustRightInd w:val="0"/>
        <w:spacing w:line="440" w:lineRule="exact"/>
        <w:ind w:firstLine="420" w:firstLineChars="200"/>
      </w:pPr>
      <w:r>
        <w:rPr>
          <w:rFonts w:hint="eastAsia"/>
        </w:rPr>
        <w:t>7、在服务期内，不得以任何理由将本校的医疗卫生服务内容向第三方机构或个人进行转包或分包。</w:t>
      </w:r>
    </w:p>
    <w:p>
      <w:pPr>
        <w:widowControl/>
        <w:shd w:val="clear" w:color="auto" w:fill="FFFFFF"/>
        <w:adjustRightInd w:val="0"/>
        <w:spacing w:line="440" w:lineRule="exact"/>
        <w:ind w:firstLine="420" w:firstLineChars="200"/>
      </w:pPr>
      <w:r>
        <w:rPr>
          <w:rFonts w:hint="eastAsia"/>
        </w:rPr>
        <w:t>8、</w:t>
      </w:r>
      <w:r>
        <w:t>主要负责常见病，多发病的诊断、治疗工作。开展常规治疗，对不能救治的急、重症病人应及时转诊，并通知招标方管理部门。负责大病就医绿色通道的建立，危急重病人由医护人员陪同就诊，先行治疗，确保安全第一。</w:t>
      </w:r>
      <w:r>
        <w:rPr>
          <w:rFonts w:hint="eastAsia"/>
        </w:rPr>
        <w:t>在医疗服务过程中发生的医疗纠纷、医疗事故等责任，由中标方完全承担法律和赔偿责任。</w:t>
      </w:r>
    </w:p>
    <w:p>
      <w:pPr>
        <w:widowControl/>
        <w:shd w:val="clear" w:color="auto" w:fill="FFFFFF"/>
        <w:adjustRightInd w:val="0"/>
        <w:spacing w:line="440" w:lineRule="exact"/>
        <w:ind w:firstLine="420" w:firstLineChars="200"/>
      </w:pPr>
      <w:r>
        <w:rPr>
          <w:rFonts w:hint="eastAsia"/>
        </w:rPr>
        <w:t>9、</w:t>
      </w:r>
      <w:r>
        <w:t>建立健全传染病的防控机制和突发共公卫生事件应急预案及时向学校通报传染病信息。负责学校传染病的初级预防、报告工作。适时开展相关疫苗接种。协助校方做好饮食卫生、教学卫生、环境卫生等工作实施业务指导和监督。积极为师生提供健康保健及心理卫生咨询、健康教育等良好的医疗保健措施。</w:t>
      </w:r>
    </w:p>
    <w:p>
      <w:pPr>
        <w:widowControl/>
        <w:shd w:val="clear" w:color="auto" w:fill="FFFFFF"/>
        <w:adjustRightInd w:val="0"/>
        <w:spacing w:line="440" w:lineRule="exact"/>
        <w:ind w:firstLine="420" w:firstLineChars="200"/>
      </w:pPr>
      <w:r>
        <w:rPr>
          <w:rFonts w:hint="eastAsia"/>
        </w:rPr>
        <w:t>10、医务人员免费使用水电，必须严格遵守《江苏经贸职业技术学院水电管理办法》的规定，</w:t>
      </w:r>
      <w:r>
        <w:t>严禁使用大功率电器，供应商承担超计划使用的水、电、通讯等费用。</w:t>
      </w:r>
    </w:p>
    <w:p>
      <w:pPr>
        <w:widowControl/>
        <w:shd w:val="clear" w:color="auto" w:fill="FFFFFF"/>
        <w:adjustRightInd w:val="0"/>
        <w:spacing w:line="440" w:lineRule="exact"/>
        <w:ind w:firstLine="420" w:firstLineChars="200"/>
      </w:pPr>
      <w:r>
        <w:rPr>
          <w:rFonts w:hint="eastAsia"/>
        </w:rPr>
        <w:t>11、为学校的各类大型活动（军训、运动会、省赛、国赛、各项考试等）提供医疗保障。</w:t>
      </w:r>
    </w:p>
    <w:p>
      <w:pPr>
        <w:widowControl/>
        <w:shd w:val="clear" w:color="auto" w:fill="FFFFFF"/>
        <w:adjustRightInd w:val="0"/>
        <w:spacing w:line="440" w:lineRule="exact"/>
        <w:ind w:firstLine="420" w:firstLineChars="200"/>
      </w:pPr>
      <w:r>
        <w:rPr>
          <w:rFonts w:hint="eastAsia"/>
        </w:rPr>
        <w:t>12、新生体检费和体检项目按照《江苏省高等学校服务性收费和代收费管理暂行办法》执行。</w:t>
      </w:r>
    </w:p>
    <w:p>
      <w:pPr>
        <w:widowControl/>
        <w:shd w:val="clear" w:color="auto" w:fill="FFFFFF"/>
        <w:adjustRightInd w:val="0"/>
        <w:spacing w:line="440" w:lineRule="exact"/>
        <w:ind w:firstLine="420" w:firstLineChars="200"/>
      </w:pPr>
      <w:r>
        <w:rPr>
          <w:rFonts w:hint="eastAsia"/>
        </w:rPr>
        <w:t>1</w:t>
      </w:r>
      <w:r>
        <w:t>3</w:t>
      </w:r>
      <w:r>
        <w:rPr>
          <w:rFonts w:hint="eastAsia"/>
        </w:rPr>
        <w:t>、其他服务：</w:t>
      </w:r>
    </w:p>
    <w:p>
      <w:pPr>
        <w:widowControl/>
        <w:shd w:val="clear" w:color="auto" w:fill="FFFFFF"/>
        <w:adjustRightInd w:val="0"/>
        <w:spacing w:line="440" w:lineRule="exact"/>
        <w:ind w:firstLine="420" w:firstLineChars="200"/>
      </w:pPr>
      <w:r>
        <w:rPr>
          <w:rFonts w:hint="eastAsia"/>
        </w:rPr>
        <w:t>能免费为师生提供生命安全教育（如：艾滋病宣传教育、急救知识培训等）；能免费提供心电图设备，血、尿常规检查设备。</w:t>
      </w:r>
    </w:p>
    <w:p>
      <w:pPr>
        <w:widowControl/>
        <w:shd w:val="clear" w:color="auto" w:fill="FFFFFF"/>
        <w:adjustRightInd w:val="0"/>
        <w:spacing w:line="440" w:lineRule="exact"/>
      </w:pPr>
      <w:r>
        <w:rPr>
          <w:rFonts w:hint="eastAsia"/>
        </w:rPr>
        <w:t>三、招标预算及报价说明</w:t>
      </w:r>
    </w:p>
    <w:p>
      <w:pPr>
        <w:widowControl/>
        <w:shd w:val="clear" w:color="auto" w:fill="FFFFFF"/>
        <w:adjustRightInd w:val="0"/>
        <w:spacing w:line="440" w:lineRule="exact"/>
        <w:ind w:firstLine="420" w:firstLineChars="200"/>
        <w:rPr>
          <w:color w:val="FF0000"/>
        </w:rPr>
      </w:pPr>
      <w:r>
        <w:rPr>
          <w:rFonts w:hint="eastAsia"/>
        </w:rPr>
        <w:t>招标预算每年40万元，三年120.288万元（含招标代理费0.288万元）</w:t>
      </w:r>
    </w:p>
    <w:p>
      <w:pPr>
        <w:widowControl/>
        <w:shd w:val="clear" w:color="auto" w:fill="FFFFFF"/>
        <w:adjustRightInd w:val="0"/>
        <w:spacing w:line="440" w:lineRule="exact"/>
        <w:ind w:firstLine="420" w:firstLineChars="200"/>
      </w:pPr>
      <w:r>
        <w:rPr>
          <w:rFonts w:hint="eastAsia"/>
        </w:rPr>
        <w:t>投标人报价是根据招标文件所确定的管理服务范围内的全部工作人员和内容的价格体现，是为完成招标文件规定的服务管理工作所涉及到的一切费用。包括但不仅限于人员费用（12个月工资、全年福利、培训、体检、社会保险、加班费等），服务所用设备、工具购置及维护费用，服务所用材料消耗费用、管理费用、利润、税金等支出。</w:t>
      </w:r>
    </w:p>
    <w:p>
      <w:pPr>
        <w:widowControl/>
        <w:shd w:val="clear" w:color="auto" w:fill="FFFFFF"/>
        <w:adjustRightInd w:val="0"/>
        <w:spacing w:line="440" w:lineRule="exact"/>
        <w:ind w:firstLine="420" w:firstLineChars="200"/>
      </w:pPr>
      <w:r>
        <w:rPr>
          <w:rFonts w:hint="eastAsia"/>
        </w:rPr>
        <w:t>招标文件未列明，而投标人认为必需的费用也需列入报价。</w:t>
      </w:r>
    </w:p>
    <w:p>
      <w:pPr>
        <w:widowControl/>
        <w:shd w:val="clear" w:color="auto" w:fill="FFFFFF"/>
        <w:adjustRightInd w:val="0"/>
        <w:spacing w:line="440" w:lineRule="exact"/>
        <w:ind w:firstLine="420" w:firstLineChars="200"/>
      </w:pPr>
      <w:r>
        <w:rPr>
          <w:rFonts w:hint="eastAsia"/>
        </w:rPr>
        <w:t>报价是一年价格（招标控制价40万/年），本报价必须充分考虑所有可能影响到报价的价格因素，一旦投标结束最终成交，总价将包定，合同期内一般不予调整。如发生漏、缺、少项，都将被认为是中标人的报价让利行为。</w:t>
      </w:r>
    </w:p>
    <w:p>
      <w:pPr>
        <w:widowControl/>
        <w:shd w:val="clear" w:color="auto" w:fill="FFFFFF"/>
        <w:adjustRightInd w:val="0"/>
        <w:spacing w:line="440" w:lineRule="exact"/>
        <w:ind w:firstLine="420" w:firstLineChars="200"/>
      </w:pPr>
      <w:r>
        <w:rPr>
          <w:rFonts w:hint="eastAsia"/>
        </w:rPr>
        <w:t>四、商务部分：</w:t>
      </w:r>
    </w:p>
    <w:p>
      <w:pPr>
        <w:widowControl/>
        <w:shd w:val="clear" w:color="auto" w:fill="FFFFFF"/>
        <w:adjustRightInd w:val="0"/>
        <w:spacing w:line="440" w:lineRule="exact"/>
        <w:ind w:firstLine="420" w:firstLineChars="200"/>
      </w:pPr>
      <w:r>
        <w:rPr>
          <w:rFonts w:hint="eastAsia"/>
        </w:rPr>
        <w:t>中标人一旦中标，和学校签订服务合同，合同委托服务时间为2026年9月1日—2029年8月31日，合同一年一签。托管费用为后付费制, 分二期支付：第一期为合同签订后次年的3月份支付合同金额的50%（根据服务对象满意度测评和学校《运维保障服务项目分期考核表》进行考核后支付）</w:t>
      </w:r>
      <w:r>
        <w:t>，第二期为合同到期</w:t>
      </w:r>
      <w:r>
        <w:rPr>
          <w:rFonts w:hint="eastAsia"/>
        </w:rPr>
        <w:t>并验收合格后</w:t>
      </w:r>
      <w:r>
        <w:t>一个月内支付剩余款项。</w:t>
      </w:r>
      <w:r>
        <w:rPr>
          <w:rFonts w:hint="eastAsia"/>
        </w:rPr>
        <w:t>服务期内一年一验收，如无违法、违规、违约行为和安全责任事故，且项目验收合格后支付服务费。验收标准参照《江苏经贸职业技术学院服务类采购项目履约验收报告》规定再决定是否签订）。</w:t>
      </w:r>
    </w:p>
    <w:p>
      <w:pPr>
        <w:snapToGrid w:val="0"/>
        <w:spacing w:beforeLines="50" w:afterLines="50" w:line="560" w:lineRule="atLeast"/>
        <w:ind w:firstLine="308" w:firstLineChars="147"/>
      </w:pPr>
      <w:r>
        <w:rPr>
          <w:rFonts w:hint="eastAsia"/>
        </w:rPr>
        <w:t>注：每次付款前中标人必须提供符合国家规定的等额增值税普通发票，否则招标人有权不予支付且并不视为招标人违约，且不影响中标人继续履行本合同项下的义务。</w:t>
      </w:r>
    </w:p>
    <w:p>
      <w:pPr>
        <w:widowControl/>
        <w:shd w:val="clear" w:color="auto" w:fill="FFFFFF"/>
        <w:adjustRightInd w:val="0"/>
        <w:spacing w:after="240" w:line="440" w:lineRule="exact"/>
        <w:ind w:firstLine="420" w:firstLineChars="200"/>
      </w:pPr>
      <w:r>
        <w:rPr>
          <w:rFonts w:hint="eastAsia"/>
        </w:rPr>
        <w:t>合同具体条款及签订事宜，请本项目中标候选人于结果公示结束后，与该项目负责单位后勤基建处联系协商签订。</w:t>
      </w:r>
    </w:p>
    <w:p>
      <w:pPr>
        <w:widowControl/>
        <w:shd w:val="clear" w:color="auto" w:fill="FFFFFF"/>
        <w:adjustRightInd w:val="0"/>
        <w:spacing w:line="360" w:lineRule="auto"/>
        <w:ind w:firstLine="420" w:firstLineChars="200"/>
      </w:pPr>
      <w:r>
        <w:rPr>
          <w:rFonts w:hint="eastAsia"/>
        </w:rPr>
        <w:t>五、</w:t>
      </w:r>
      <w:r>
        <w:t>履约保证金</w:t>
      </w:r>
      <w:r>
        <w:rPr>
          <w:rFonts w:hint="eastAsia"/>
        </w:rPr>
        <w:t>：</w:t>
      </w:r>
    </w:p>
    <w:p>
      <w:pPr>
        <w:widowControl/>
        <w:shd w:val="clear" w:color="auto" w:fill="FFFFFF"/>
        <w:adjustRightInd w:val="0"/>
        <w:spacing w:line="440" w:lineRule="exact"/>
        <w:ind w:firstLine="420" w:firstLineChars="200"/>
      </w:pPr>
      <w:r>
        <w:rPr>
          <w:rFonts w:hint="eastAsia"/>
        </w:rPr>
        <w:t>1、中标后，中标人需交纳中标金额5%的履约保证金，履约保证金在合同履行完毕且经用户单位确认质量、服务无问题的情况下退还(不计息)。</w:t>
      </w:r>
    </w:p>
    <w:p>
      <w:pPr>
        <w:widowControl/>
        <w:shd w:val="clear" w:color="auto" w:fill="FFFFFF"/>
        <w:adjustRightInd w:val="0"/>
        <w:spacing w:line="440" w:lineRule="exact"/>
        <w:ind w:firstLine="420" w:firstLineChars="200"/>
      </w:pPr>
      <w:r>
        <w:rPr>
          <w:rFonts w:hint="eastAsia"/>
        </w:rPr>
        <w:t>2、如乙方未能履行合同规定的义务，甲方有权从履约保证金中取得补偿。</w:t>
      </w:r>
    </w:p>
    <w:p/>
    <w:p/>
    <w:p/>
    <w:p/>
    <w:p/>
    <w:p/>
    <w:p/>
    <w:p/>
    <w:p/>
    <w:p/>
    <w:p/>
    <w:p/>
    <w:p/>
    <w:p/>
    <w:p/>
    <w:p/>
    <w:p/>
    <w:p/>
    <w:p/>
    <w:p/>
    <w:p/>
    <w:p/>
    <w:p/>
    <w:p/>
    <w:p/>
    <w:p/>
    <w:p/>
    <w:p/>
    <w:p/>
    <w:p/>
    <w:p/>
    <w:p/>
    <w:p/>
    <w:p/>
    <w:p/>
    <w:p/>
    <w:p/>
    <w:p/>
    <w:p/>
    <w:p/>
    <w:p/>
    <w:p/>
    <w:p/>
    <w:p/>
    <w:p/>
    <w:p/>
    <w:p>
      <w:pPr>
        <w:pStyle w:val="203"/>
        <w:numPr>
          <w:ilvl w:val="0"/>
          <w:numId w:val="0"/>
        </w:numPr>
        <w:ind w:left="567"/>
        <w:rPr>
          <w:rFonts w:ascii="宋体" w:hAnsi="宋体" w:cs="宋体"/>
        </w:rPr>
      </w:pPr>
      <w:bookmarkStart w:id="106" w:name="_Toc176529671"/>
      <w:r>
        <w:rPr>
          <w:rFonts w:hint="eastAsia" w:ascii="宋体" w:hAnsi="宋体" w:cs="宋体"/>
        </w:rPr>
        <w:t>第五章 合同主要条款及格式</w:t>
      </w:r>
      <w:bookmarkEnd w:id="104"/>
      <w:bookmarkEnd w:id="105"/>
      <w:bookmarkEnd w:id="106"/>
    </w:p>
    <w:p>
      <w:pPr>
        <w:ind w:firstLine="3614" w:firstLineChars="1200"/>
        <w:rPr>
          <w:rFonts w:ascii="宋体" w:hAnsi="宋体"/>
          <w:b/>
          <w:sz w:val="30"/>
        </w:rPr>
      </w:pPr>
      <w:bookmarkStart w:id="107" w:name="_Hlk66377681"/>
      <w:bookmarkStart w:id="108" w:name="_Toc12929"/>
      <w:r>
        <w:rPr>
          <w:rFonts w:hint="eastAsia" w:ascii="宋体" w:hAnsi="宋体"/>
          <w:b/>
          <w:sz w:val="30"/>
        </w:rPr>
        <w:t>江苏省政府采购合同</w:t>
      </w:r>
    </w:p>
    <w:p>
      <w:pPr>
        <w:pStyle w:val="43"/>
        <w:ind w:left="420" w:firstLine="0" w:firstLineChars="0"/>
        <w:rPr>
          <w:b/>
          <w:bCs/>
        </w:rPr>
      </w:pPr>
      <w:r>
        <w:rPr>
          <w:rFonts w:hint="eastAsia"/>
          <w:b/>
          <w:bCs/>
        </w:rPr>
        <w:t>注：本合同仅为合同的参考文本，合同签订双方可根据项目的具体要求进行修订，但不得更改实质性要求。</w:t>
      </w:r>
    </w:p>
    <w:tbl>
      <w:tblPr>
        <w:tblStyle w:val="44"/>
        <w:tblW w:w="5000" w:type="pct"/>
        <w:jc w:val="center"/>
        <w:tblLayout w:type="autofit"/>
        <w:tblCellMar>
          <w:top w:w="0" w:type="dxa"/>
          <w:left w:w="0" w:type="dxa"/>
          <w:bottom w:w="0" w:type="dxa"/>
          <w:right w:w="0" w:type="dxa"/>
        </w:tblCellMar>
      </w:tblPr>
      <w:tblGrid>
        <w:gridCol w:w="3919"/>
        <w:gridCol w:w="5719"/>
      </w:tblGrid>
      <w:tr>
        <w:tblPrEx>
          <w:tblCellMar>
            <w:top w:w="0" w:type="dxa"/>
            <w:left w:w="0" w:type="dxa"/>
            <w:bottom w:w="0" w:type="dxa"/>
            <w:right w:w="0" w:type="dxa"/>
          </w:tblCellMar>
        </w:tblPrEx>
        <w:trPr>
          <w:jc w:val="center"/>
        </w:trPr>
        <w:tc>
          <w:tcPr>
            <w:tcW w:w="2033" w:type="pct"/>
            <w:tcBorders>
              <w:top w:val="nil"/>
              <w:left w:val="nil"/>
              <w:bottom w:val="nil"/>
              <w:right w:val="nil"/>
            </w:tcBorders>
          </w:tcPr>
          <w:p>
            <w:pPr>
              <w:autoSpaceDE w:val="0"/>
              <w:autoSpaceDN w:val="0"/>
              <w:adjustRightInd w:val="0"/>
              <w:spacing w:line="300" w:lineRule="exact"/>
              <w:rPr>
                <w:rFonts w:cs="宋体"/>
                <w:b/>
                <w:bCs/>
                <w:lang w:val="zh-CN"/>
              </w:rPr>
            </w:pPr>
            <w:bookmarkStart w:id="109" w:name="_Hlt16619369"/>
            <w:bookmarkEnd w:id="109"/>
            <w:r>
              <w:rPr>
                <w:rFonts w:hint="eastAsia" w:cs="宋体"/>
                <w:b/>
                <w:bCs/>
                <w:lang w:val="zh-CN"/>
              </w:rPr>
              <w:t>采购人(以下称甲方)：</w:t>
            </w:r>
          </w:p>
          <w:p>
            <w:pPr>
              <w:autoSpaceDE w:val="0"/>
              <w:autoSpaceDN w:val="0"/>
              <w:adjustRightInd w:val="0"/>
              <w:spacing w:line="300" w:lineRule="exact"/>
              <w:rPr>
                <w:rFonts w:cs="宋体"/>
              </w:rPr>
            </w:pPr>
            <w:r>
              <w:rPr>
                <w:rFonts w:hint="eastAsia" w:cs="宋体"/>
              </w:rPr>
              <w:t>江苏经贸职业技术学院</w:t>
            </w:r>
          </w:p>
        </w:tc>
        <w:tc>
          <w:tcPr>
            <w:tcW w:w="2967" w:type="pct"/>
            <w:tcBorders>
              <w:top w:val="nil"/>
              <w:left w:val="nil"/>
              <w:bottom w:val="nil"/>
              <w:right w:val="nil"/>
            </w:tcBorders>
          </w:tcPr>
          <w:p>
            <w:pPr>
              <w:autoSpaceDE w:val="0"/>
              <w:autoSpaceDN w:val="0"/>
              <w:adjustRightInd w:val="0"/>
              <w:spacing w:line="300" w:lineRule="exact"/>
              <w:rPr>
                <w:rFonts w:cs="宋体"/>
              </w:rPr>
            </w:pPr>
            <w:r>
              <w:rPr>
                <w:rFonts w:hint="eastAsia" w:cs="宋体"/>
                <w:b/>
                <w:bCs/>
                <w:lang w:val="zh-CN"/>
              </w:rPr>
              <w:t>供应商：(以下称乙方):</w:t>
            </w:r>
          </w:p>
          <w:p>
            <w:pPr>
              <w:autoSpaceDE w:val="0"/>
              <w:autoSpaceDN w:val="0"/>
              <w:adjustRightInd w:val="0"/>
              <w:spacing w:line="300" w:lineRule="exact"/>
              <w:rPr>
                <w:rFonts w:cs="宋体"/>
              </w:rPr>
            </w:pPr>
          </w:p>
        </w:tc>
      </w:tr>
      <w:tr>
        <w:tblPrEx>
          <w:tblCellMar>
            <w:top w:w="0" w:type="dxa"/>
            <w:left w:w="0" w:type="dxa"/>
            <w:bottom w:w="0" w:type="dxa"/>
            <w:right w:w="0" w:type="dxa"/>
          </w:tblCellMar>
        </w:tblPrEx>
        <w:trPr>
          <w:jc w:val="center"/>
        </w:trPr>
        <w:tc>
          <w:tcPr>
            <w:tcW w:w="2033" w:type="pct"/>
            <w:tcBorders>
              <w:top w:val="nil"/>
              <w:left w:val="nil"/>
              <w:bottom w:val="nil"/>
              <w:right w:val="nil"/>
            </w:tcBorders>
          </w:tcPr>
          <w:p>
            <w:pPr>
              <w:autoSpaceDE w:val="0"/>
              <w:autoSpaceDN w:val="0"/>
              <w:adjustRightInd w:val="0"/>
              <w:spacing w:line="300" w:lineRule="exact"/>
              <w:rPr>
                <w:rFonts w:cs="宋体"/>
                <w:b/>
                <w:lang w:val="zh-CN"/>
              </w:rPr>
            </w:pPr>
            <w:r>
              <w:rPr>
                <w:rFonts w:hint="eastAsia" w:cs="宋体"/>
                <w:b/>
                <w:lang w:val="zh-CN"/>
              </w:rPr>
              <w:t>住所地：</w:t>
            </w:r>
          </w:p>
          <w:p>
            <w:pPr>
              <w:autoSpaceDE w:val="0"/>
              <w:autoSpaceDN w:val="0"/>
              <w:adjustRightInd w:val="0"/>
              <w:spacing w:line="300" w:lineRule="exact"/>
              <w:rPr>
                <w:rFonts w:cs="宋体"/>
              </w:rPr>
            </w:pPr>
            <w:r>
              <w:rPr>
                <w:rFonts w:hint="eastAsia" w:cs="宋体"/>
                <w:lang w:val="zh-CN"/>
              </w:rPr>
              <w:t>江苏省南京市江宁区龙眠大道180号</w:t>
            </w:r>
          </w:p>
        </w:tc>
        <w:tc>
          <w:tcPr>
            <w:tcW w:w="2967" w:type="pct"/>
            <w:tcBorders>
              <w:top w:val="nil"/>
              <w:left w:val="nil"/>
              <w:bottom w:val="nil"/>
              <w:right w:val="nil"/>
            </w:tcBorders>
          </w:tcPr>
          <w:p>
            <w:pPr>
              <w:autoSpaceDE w:val="0"/>
              <w:autoSpaceDN w:val="0"/>
              <w:adjustRightInd w:val="0"/>
              <w:spacing w:line="300" w:lineRule="exact"/>
              <w:rPr>
                <w:rFonts w:cs="宋体"/>
                <w:b/>
                <w:lang w:val="zh-CN"/>
              </w:rPr>
            </w:pPr>
            <w:r>
              <w:rPr>
                <w:rFonts w:hint="eastAsia" w:cs="宋体"/>
                <w:b/>
                <w:lang w:val="zh-CN"/>
              </w:rPr>
              <w:t>住所地：</w:t>
            </w:r>
          </w:p>
          <w:p>
            <w:pPr>
              <w:autoSpaceDE w:val="0"/>
              <w:autoSpaceDN w:val="0"/>
              <w:adjustRightInd w:val="0"/>
              <w:spacing w:line="300" w:lineRule="exact"/>
              <w:rPr>
                <w:rFonts w:cs="宋体"/>
              </w:rPr>
            </w:pPr>
          </w:p>
        </w:tc>
      </w:tr>
    </w:tbl>
    <w:p>
      <w:pPr>
        <w:ind w:right="105" w:rightChars="50"/>
      </w:pPr>
    </w:p>
    <w:p>
      <w:pPr>
        <w:spacing w:line="400" w:lineRule="exact"/>
        <w:ind w:right="105" w:rightChars="50" w:firstLine="420" w:firstLineChars="200"/>
      </w:pPr>
      <w:r>
        <w:rPr>
          <w:rFonts w:hint="eastAsia"/>
        </w:rPr>
        <w:t>根据《中华人民共和国民法典》等法律法规的规定，甲乙双方按照采购代理机构的招标结果签订本合同。</w:t>
      </w:r>
    </w:p>
    <w:p>
      <w:pPr>
        <w:autoSpaceDE w:val="0"/>
        <w:autoSpaceDN w:val="0"/>
        <w:adjustRightInd w:val="0"/>
        <w:spacing w:line="400" w:lineRule="exact"/>
      </w:pPr>
      <w:r>
        <w:rPr>
          <w:rFonts w:hint="eastAsia"/>
          <w:b/>
          <w:bCs/>
        </w:rPr>
        <w:t>第一条  合同标的</w:t>
      </w:r>
    </w:p>
    <w:p>
      <w:pPr>
        <w:autoSpaceDE w:val="0"/>
        <w:autoSpaceDN w:val="0"/>
        <w:adjustRightInd w:val="0"/>
        <w:spacing w:line="400" w:lineRule="exact"/>
        <w:ind w:firstLine="420" w:firstLineChars="200"/>
        <w:rPr>
          <w:u w:val="single"/>
        </w:rPr>
      </w:pPr>
      <w:r>
        <w:rPr>
          <w:rFonts w:hint="eastAsia"/>
        </w:rPr>
        <w:t>1、乙方根据甲方需求提供以下项目服务：</w:t>
      </w:r>
      <w:r>
        <w:rPr>
          <w:rFonts w:hint="eastAsia"/>
          <w:u w:val="single"/>
        </w:rPr>
        <w:t xml:space="preserve"> XXXXX项目 </w:t>
      </w:r>
      <w:r>
        <w:rPr>
          <w:rFonts w:hint="eastAsia"/>
        </w:rPr>
        <w:t>。</w:t>
      </w:r>
    </w:p>
    <w:p>
      <w:pPr>
        <w:autoSpaceDE w:val="0"/>
        <w:autoSpaceDN w:val="0"/>
        <w:adjustRightInd w:val="0"/>
        <w:spacing w:line="400" w:lineRule="exact"/>
        <w:ind w:firstLine="420" w:firstLineChars="200"/>
      </w:pPr>
      <w:r>
        <w:rPr>
          <w:rFonts w:hint="eastAsia"/>
        </w:rPr>
        <w:t>2、合同期限：</w:t>
      </w:r>
      <w:r>
        <w:rPr>
          <w:rFonts w:hint="eastAsia"/>
          <w:b/>
        </w:rPr>
        <w:t xml:space="preserve">      年    月    日至      年    月    日</w:t>
      </w:r>
      <w:r>
        <w:rPr>
          <w:rFonts w:hint="eastAsia"/>
        </w:rPr>
        <w:t>。</w:t>
      </w:r>
    </w:p>
    <w:p>
      <w:pPr>
        <w:autoSpaceDE w:val="0"/>
        <w:autoSpaceDN w:val="0"/>
        <w:adjustRightInd w:val="0"/>
        <w:spacing w:line="400" w:lineRule="exact"/>
        <w:ind w:firstLine="420" w:firstLineChars="200"/>
      </w:pPr>
      <w:r>
        <w:rPr>
          <w:rFonts w:hint="eastAsia"/>
        </w:rPr>
        <w:t>3、服务需求。</w:t>
      </w:r>
    </w:p>
    <w:p>
      <w:pPr>
        <w:autoSpaceDE w:val="0"/>
        <w:autoSpaceDN w:val="0"/>
        <w:spacing w:line="520" w:lineRule="exact"/>
        <w:ind w:firstLine="420" w:firstLineChars="200"/>
      </w:pPr>
      <w:r>
        <w:rPr>
          <w:rFonts w:hint="eastAsia"/>
        </w:rPr>
        <w:t>3.1甲方的权利和义务：</w:t>
      </w:r>
    </w:p>
    <w:p>
      <w:pPr>
        <w:autoSpaceDE w:val="0"/>
        <w:autoSpaceDN w:val="0"/>
        <w:spacing w:line="520" w:lineRule="exact"/>
        <w:ind w:firstLine="420" w:firstLineChars="200"/>
      </w:pPr>
      <w:r>
        <w:rPr>
          <w:rFonts w:hint="eastAsia"/>
        </w:rPr>
        <w:t>（1）甲方将本校医疗保健服务工作委托给乙方，并在本校大学生活动中心为乙方设立医务室，名称为江苏经贸职业技术学院医务室（以下简称校医务室)。</w:t>
      </w:r>
    </w:p>
    <w:p>
      <w:pPr>
        <w:autoSpaceDE w:val="0"/>
        <w:autoSpaceDN w:val="0"/>
        <w:spacing w:line="520" w:lineRule="exact"/>
        <w:ind w:firstLine="420" w:firstLineChars="200"/>
      </w:pPr>
      <w:r>
        <w:rPr>
          <w:rFonts w:hint="eastAsia"/>
        </w:rPr>
        <w:t>（2）甲方向乙方提供医务室场所、医疗机构执业许可证，并提供办公需要的物资硬件（如空调，电话，办公桌椅等非医疗设备），且能达到卫生局检查验收的条件。</w:t>
      </w:r>
    </w:p>
    <w:p>
      <w:pPr>
        <w:autoSpaceDE w:val="0"/>
        <w:autoSpaceDN w:val="0"/>
        <w:spacing w:line="520" w:lineRule="exact"/>
        <w:ind w:firstLine="420" w:firstLineChars="200"/>
      </w:pPr>
      <w:r>
        <w:rPr>
          <w:rFonts w:hint="eastAsia"/>
        </w:rPr>
        <w:t>（3）甲方承诺将合同年度新生的入学体检工作全部交由乙方负责，并积极协助乙方做好协调工作。新生体检项目和价格按照《关于加强全省普通高等学校学生健康体检工作的通知》苏教体艺{2018}8号文件要求执行，每人86元。</w:t>
      </w:r>
    </w:p>
    <w:p>
      <w:pPr>
        <w:autoSpaceDE w:val="0"/>
        <w:autoSpaceDN w:val="0"/>
        <w:spacing w:line="520" w:lineRule="exact"/>
        <w:ind w:firstLine="420" w:firstLineChars="200"/>
      </w:pPr>
      <w:r>
        <w:rPr>
          <w:rFonts w:hint="eastAsia"/>
        </w:rPr>
        <w:t>（4）甲方有权对乙方的医疗管理、医疗服务、医疗设备、药品质量、医疗收费等进行例行检查，包括要求乙方撤换不适合在校医务室工作的乙方医务人员。</w:t>
      </w:r>
    </w:p>
    <w:p>
      <w:pPr>
        <w:autoSpaceDE w:val="0"/>
        <w:autoSpaceDN w:val="0"/>
        <w:spacing w:line="520" w:lineRule="exact"/>
        <w:ind w:firstLine="420" w:firstLineChars="200"/>
      </w:pPr>
      <w:r>
        <w:rPr>
          <w:rFonts w:hint="eastAsia"/>
        </w:rPr>
        <w:t>（5）乙方在就诊过程中，如出现学生不配合治疗或无理取闹等影响乙方正常就诊情况时，甲方有义务协助乙方解决。</w:t>
      </w:r>
    </w:p>
    <w:p>
      <w:pPr>
        <w:autoSpaceDE w:val="0"/>
        <w:autoSpaceDN w:val="0"/>
        <w:spacing w:line="520" w:lineRule="exact"/>
        <w:ind w:firstLine="420" w:firstLineChars="200"/>
      </w:pPr>
      <w:r>
        <w:rPr>
          <w:rFonts w:hint="eastAsia"/>
        </w:rPr>
        <w:t>（6）乙方如出现重大医疗事故或因不服从甲方监督管理而影响服务质量，且师生反映严重的情况时，甲方有权单方解除本合同。解约通知应提前三十天书面通知乙方。乙方收到解约通知后三十天内应搬离所有设备和物品，并将校医务室交还甲方。</w:t>
      </w:r>
    </w:p>
    <w:p>
      <w:pPr>
        <w:autoSpaceDE w:val="0"/>
        <w:autoSpaceDN w:val="0"/>
        <w:spacing w:line="520" w:lineRule="exact"/>
        <w:ind w:firstLine="420" w:firstLineChars="200"/>
      </w:pPr>
      <w:r>
        <w:rPr>
          <w:rFonts w:hint="eastAsia"/>
        </w:rPr>
        <w:t>（7）乙方服务期内甲方每年组织一次集中考核，如经考核不达标，甲方有权单方解除本合同。</w:t>
      </w:r>
    </w:p>
    <w:p>
      <w:pPr>
        <w:autoSpaceDE w:val="0"/>
        <w:autoSpaceDN w:val="0"/>
        <w:spacing w:line="520" w:lineRule="exact"/>
        <w:ind w:firstLine="420" w:firstLineChars="200"/>
      </w:pPr>
      <w:r>
        <w:rPr>
          <w:rFonts w:hint="eastAsia"/>
        </w:rPr>
        <w:t>3.2乙方权利和义务：</w:t>
      </w:r>
    </w:p>
    <w:p>
      <w:pPr>
        <w:autoSpaceDE w:val="0"/>
        <w:autoSpaceDN w:val="0"/>
        <w:spacing w:line="520" w:lineRule="exact"/>
        <w:ind w:firstLine="420" w:firstLineChars="200"/>
      </w:pPr>
      <w:r>
        <w:rPr>
          <w:rFonts w:hint="eastAsia"/>
        </w:rPr>
        <w:t>（1）乙方医疗卫生服务工作必须符合国家对高等学校医疗保健的有关规定和卫生部门对医疗保健管理的相关要求，并遵守相关的法律法规，为甲方提供规范化的医疗卫生服务。</w:t>
      </w:r>
    </w:p>
    <w:p>
      <w:pPr>
        <w:autoSpaceDE w:val="0"/>
        <w:autoSpaceDN w:val="0"/>
        <w:spacing w:line="520" w:lineRule="exact"/>
        <w:ind w:firstLine="420" w:firstLineChars="200"/>
      </w:pPr>
      <w:r>
        <w:rPr>
          <w:rFonts w:hint="eastAsia"/>
        </w:rPr>
        <w:t>（2）乙方安排在医务室工作的医务人员必须具有相应的执业资格，且具有3年以上的从医经历和丰富的临床经验，负责人必须具备中级以上职称。乙方安排的医务人员工资报酬、劳保和保险等一切福利待遇，由乙方负责承担。</w:t>
      </w:r>
    </w:p>
    <w:p>
      <w:pPr>
        <w:autoSpaceDE w:val="0"/>
        <w:autoSpaceDN w:val="0"/>
        <w:spacing w:line="520" w:lineRule="exact"/>
        <w:ind w:firstLine="420" w:firstLineChars="200"/>
      </w:pPr>
      <w:r>
        <w:rPr>
          <w:rFonts w:hint="eastAsia"/>
        </w:rPr>
        <w:t>（3）乙方应根据高校医疗保健工作需要，按照国家有关规定给校医务室配备常规医疗设备和抢救设施，也应依据医务室功能特点对现有设施设备予以更新或改造。乙方必须确保配备的上述医疗设备符合国家相关卫生标准和质量标准。</w:t>
      </w:r>
    </w:p>
    <w:p>
      <w:pPr>
        <w:autoSpaceDE w:val="0"/>
        <w:autoSpaceDN w:val="0"/>
        <w:spacing w:line="520" w:lineRule="exact"/>
        <w:ind w:firstLine="420" w:firstLineChars="200"/>
      </w:pPr>
      <w:r>
        <w:rPr>
          <w:rFonts w:hint="eastAsia"/>
        </w:rPr>
        <w:t>（4）乙方提供全年24小时医疗服务，白天门诊确保有一名医生、两名护士在岗，夜间确保有一名医生、一名护士值班，并根据学校教学作息时间安排具体服务时间。工作期间，乙方的医务人员不得擅自离岗，否则所引起的一切后果均由乙方承担。甲方因教学安排或承办各类活动（如军训、运动会、省赛、国赛、各项考试等）有医疗保障需求的，乙方须按甲方要求的时间和地点提供现场医疗保障服务。</w:t>
      </w:r>
    </w:p>
    <w:p>
      <w:pPr>
        <w:autoSpaceDE w:val="0"/>
        <w:autoSpaceDN w:val="0"/>
        <w:spacing w:line="520" w:lineRule="exact"/>
        <w:ind w:firstLine="420" w:firstLineChars="200"/>
      </w:pPr>
      <w:r>
        <w:rPr>
          <w:rFonts w:hint="eastAsia"/>
        </w:rPr>
        <w:t>（5）乙方主要负责常见病、多发病的诊断和治疗工作，开展常规治疗。对不能救治的急、重症病人应及时转诊，并及时通知甲方管理部门。</w:t>
      </w:r>
    </w:p>
    <w:p>
      <w:pPr>
        <w:autoSpaceDE w:val="0"/>
        <w:autoSpaceDN w:val="0"/>
        <w:spacing w:line="520" w:lineRule="exact"/>
        <w:ind w:firstLine="420" w:firstLineChars="200"/>
      </w:pPr>
      <w:r>
        <w:rPr>
          <w:rFonts w:hint="eastAsia"/>
        </w:rPr>
        <w:t>（6）乙方负责甲方传染病的初级预防、报告工作，应建立健全传染病的防控机制，制定突发公共卫生事件的应急预案，及时向甲方通报传染病信息，适时开展相关疫苗接种工作。</w:t>
      </w:r>
    </w:p>
    <w:p>
      <w:pPr>
        <w:autoSpaceDE w:val="0"/>
        <w:autoSpaceDN w:val="0"/>
        <w:spacing w:line="520" w:lineRule="exact"/>
        <w:ind w:firstLine="420" w:firstLineChars="200"/>
      </w:pPr>
      <w:r>
        <w:rPr>
          <w:rFonts w:hint="eastAsia"/>
        </w:rPr>
        <w:t>（7）乙方应协助甲方做好饮食卫生、教学卫生、环境卫生等工作，为甲方提供相关业务指导和监督。</w:t>
      </w:r>
    </w:p>
    <w:p>
      <w:pPr>
        <w:autoSpaceDE w:val="0"/>
        <w:autoSpaceDN w:val="0"/>
        <w:spacing w:line="520" w:lineRule="exact"/>
        <w:ind w:firstLine="420" w:firstLineChars="200"/>
      </w:pPr>
      <w:r>
        <w:rPr>
          <w:rFonts w:hint="eastAsia"/>
        </w:rPr>
        <w:t>（8）乙方负责在甲方校医务室建立大病就医的绿色通道，甲方的危急重病人由乙方医护人员负责陪同转诊，转诊前应负责先行治疗和抢救，确保生命安全第一。</w:t>
      </w:r>
    </w:p>
    <w:p>
      <w:pPr>
        <w:autoSpaceDE w:val="0"/>
        <w:autoSpaceDN w:val="0"/>
        <w:spacing w:line="520" w:lineRule="exact"/>
        <w:ind w:firstLine="420" w:firstLineChars="200"/>
      </w:pPr>
      <w:r>
        <w:rPr>
          <w:rFonts w:hint="eastAsia"/>
        </w:rPr>
        <w:t>（9）乙方保证在甲方校医务室所售的药品质量符合国家标准，药品价格按要求实行零差价，免收挂号费。乙方的诊疗费按国家规定收取，各项医疗收费、药品价格及管理制度明示上墙。</w:t>
      </w:r>
    </w:p>
    <w:p>
      <w:pPr>
        <w:autoSpaceDE w:val="0"/>
        <w:autoSpaceDN w:val="0"/>
        <w:spacing w:line="520" w:lineRule="exact"/>
        <w:ind w:firstLine="420" w:firstLineChars="200"/>
      </w:pPr>
      <w:r>
        <w:rPr>
          <w:rFonts w:hint="eastAsia"/>
        </w:rPr>
        <w:t>（10）乙方负责在甲方校医务室每月出一期健康专栏，指导甲方师生自我保健。</w:t>
      </w:r>
    </w:p>
    <w:p>
      <w:pPr>
        <w:autoSpaceDE w:val="0"/>
        <w:autoSpaceDN w:val="0"/>
        <w:spacing w:line="520" w:lineRule="exact"/>
        <w:ind w:firstLine="420" w:firstLineChars="200"/>
      </w:pPr>
      <w:r>
        <w:rPr>
          <w:rFonts w:hint="eastAsia"/>
        </w:rPr>
        <w:t>（11）乙方承诺强化校医务室的内部管理，建立完善和责任明确的医疗制度，提高医疗水平，做好各项医疗服务工作。</w:t>
      </w:r>
    </w:p>
    <w:p>
      <w:pPr>
        <w:autoSpaceDE w:val="0"/>
        <w:autoSpaceDN w:val="0"/>
        <w:spacing w:line="520" w:lineRule="exact"/>
        <w:ind w:firstLine="420" w:firstLineChars="200"/>
      </w:pPr>
      <w:r>
        <w:rPr>
          <w:rFonts w:hint="eastAsia"/>
        </w:rPr>
        <w:t>（12）乙方应积极为甲方师生提供健康保健、心理卫生咨询和健康教育等良好的医疗保健措施，每年用于后勤文化建设或培训服务不少于2000元。</w:t>
      </w:r>
    </w:p>
    <w:p>
      <w:pPr>
        <w:widowControl/>
        <w:shd w:val="clear" w:color="auto" w:fill="FFFFFF"/>
        <w:adjustRightInd w:val="0"/>
        <w:spacing w:line="440" w:lineRule="exact"/>
        <w:ind w:firstLine="420" w:firstLineChars="200"/>
      </w:pPr>
      <w:r>
        <w:rPr>
          <w:rFonts w:hint="eastAsia"/>
        </w:rPr>
        <w:t>（13）为学校的各类大型活动（军训、运动会、省赛、国赛、各项考试等）提供医疗保障。</w:t>
      </w:r>
    </w:p>
    <w:p>
      <w:pPr>
        <w:widowControl/>
        <w:shd w:val="clear" w:color="auto" w:fill="FFFFFF"/>
        <w:adjustRightInd w:val="0"/>
        <w:spacing w:line="440" w:lineRule="exact"/>
        <w:ind w:firstLine="420" w:firstLineChars="200"/>
      </w:pPr>
      <w:r>
        <w:rPr>
          <w:rFonts w:hint="eastAsia"/>
        </w:rPr>
        <w:t>（14）新生体检费和体检项目按照《江苏省高等学校服务性收费和代收费管理暂行办法》执行。</w:t>
      </w:r>
    </w:p>
    <w:p>
      <w:pPr>
        <w:widowControl/>
        <w:shd w:val="clear" w:color="auto" w:fill="FFFFFF"/>
        <w:adjustRightInd w:val="0"/>
        <w:spacing w:line="440" w:lineRule="exact"/>
        <w:ind w:firstLine="420" w:firstLineChars="200"/>
      </w:pPr>
      <w:r>
        <w:rPr>
          <w:rFonts w:hint="eastAsia"/>
        </w:rPr>
        <w:t>（15）其他服务：能免费为师生提供生命安全教育（如：艾滋病宣传教育、急救知识培训等）；能免费提供心电图设备，血、尿常规检查设备。</w:t>
      </w:r>
    </w:p>
    <w:p>
      <w:pPr>
        <w:widowControl/>
        <w:shd w:val="clear" w:color="auto" w:fill="FFFFFF"/>
        <w:adjustRightInd w:val="0"/>
        <w:spacing w:line="440" w:lineRule="exact"/>
        <w:ind w:firstLine="420" w:firstLineChars="200"/>
      </w:pPr>
      <w:r>
        <w:rPr>
          <w:rFonts w:hint="eastAsia"/>
        </w:rPr>
        <w:t>（16）乙方应认真执行国家各类卫生法律法规，自觉遵守甲方的各项规章制度，并制定有关工作计划。</w:t>
      </w:r>
    </w:p>
    <w:p>
      <w:pPr>
        <w:autoSpaceDE w:val="0"/>
        <w:autoSpaceDN w:val="0"/>
        <w:spacing w:line="520" w:lineRule="exact"/>
        <w:ind w:firstLine="420" w:firstLineChars="200"/>
      </w:pPr>
      <w:r>
        <w:rPr>
          <w:rFonts w:hint="eastAsia"/>
        </w:rPr>
        <w:t>（17）在医疗服务过程中，因乙方原因造成的医疗事故、医疗过错，由乙方承担相应责任。</w:t>
      </w:r>
    </w:p>
    <w:p>
      <w:pPr>
        <w:autoSpaceDE w:val="0"/>
        <w:autoSpaceDN w:val="0"/>
        <w:spacing w:line="520" w:lineRule="exact"/>
        <w:ind w:firstLine="420" w:firstLineChars="200"/>
      </w:pPr>
      <w:r>
        <w:rPr>
          <w:rFonts w:hint="eastAsia"/>
        </w:rPr>
        <w:t>（18）乙方应自觉遵守甲方的有关规定，且不得将校医务室以任何理由或任何形式转包给他人，否则甲方有权单方解除本合同，并有权要求乙方承担违约责任和赔偿由此给甲方造成的全部损失。</w:t>
      </w:r>
    </w:p>
    <w:p>
      <w:pPr>
        <w:autoSpaceDE w:val="0"/>
        <w:autoSpaceDN w:val="0"/>
        <w:spacing w:line="520" w:lineRule="exact"/>
        <w:ind w:firstLine="420" w:firstLineChars="200"/>
      </w:pPr>
      <w:r>
        <w:rPr>
          <w:rFonts w:hint="eastAsia"/>
        </w:rPr>
        <w:t>（19）乙方应向甲方提供派驻医护人员的资质证明材料，并将相关的复印件报甲方备案。如更换派驻的医护人员，应在更换前的十日内书面报请甲方主管部门同意，并将相关人员的资质证明材料报甲方主管部门备案。</w:t>
      </w:r>
    </w:p>
    <w:p>
      <w:pPr>
        <w:autoSpaceDE w:val="0"/>
        <w:autoSpaceDN w:val="0"/>
        <w:spacing w:line="520" w:lineRule="exact"/>
        <w:ind w:firstLine="420" w:firstLineChars="200"/>
      </w:pPr>
      <w:r>
        <w:rPr>
          <w:rFonts w:hint="eastAsia"/>
        </w:rPr>
        <w:t>（20）乙方医务人员使用水、电，必须严格遵守《江苏经贸职业技术学院水电管理办法》的规定，不得使用大功率电器，超出甲方规定限额使用的水、电、通讯设备发生的费用，由乙方自行承担。</w:t>
      </w:r>
    </w:p>
    <w:p>
      <w:pPr>
        <w:autoSpaceDE w:val="0"/>
        <w:autoSpaceDN w:val="0"/>
        <w:adjustRightInd w:val="0"/>
        <w:spacing w:line="400" w:lineRule="exact"/>
        <w:rPr>
          <w:b/>
          <w:bCs/>
        </w:rPr>
      </w:pPr>
      <w:r>
        <w:rPr>
          <w:rFonts w:hint="eastAsia"/>
          <w:b/>
          <w:bCs/>
        </w:rPr>
        <w:t>第二条  合同总价款</w:t>
      </w:r>
    </w:p>
    <w:p>
      <w:pPr>
        <w:autoSpaceDE w:val="0"/>
        <w:autoSpaceDN w:val="0"/>
        <w:adjustRightInd w:val="0"/>
        <w:spacing w:line="400" w:lineRule="exact"/>
        <w:ind w:firstLine="420" w:firstLineChars="200"/>
      </w:pPr>
      <w:r>
        <w:rPr>
          <w:rFonts w:hint="eastAsia"/>
        </w:rPr>
        <w:t>1、本合同项下服务成交价为：</w:t>
      </w:r>
      <w:r>
        <w:rPr>
          <w:rFonts w:hint="eastAsia"/>
          <w:u w:val="single"/>
        </w:rPr>
        <w:t xml:space="preserve"> XXXXX </w:t>
      </w:r>
      <w:r>
        <w:rPr>
          <w:rFonts w:hint="eastAsia"/>
        </w:rPr>
        <w:t>元整</w:t>
      </w:r>
      <w:r>
        <w:t>(大写)</w:t>
      </w:r>
      <w:r>
        <w:rPr>
          <w:rFonts w:hint="eastAsia"/>
        </w:rPr>
        <w:t>，</w:t>
      </w:r>
      <w:r>
        <w:t>(小写)</w:t>
      </w:r>
      <w:r>
        <w:rPr>
          <w:rFonts w:hint="eastAsia"/>
        </w:rPr>
        <w:t>：</w:t>
      </w:r>
      <w:r>
        <w:rPr>
          <w:rFonts w:hint="eastAsia"/>
          <w:u w:val="single"/>
        </w:rPr>
        <w:t xml:space="preserve">¥      </w:t>
      </w:r>
      <w:r>
        <w:rPr>
          <w:rFonts w:hint="eastAsia"/>
        </w:rPr>
        <w:t>元。</w:t>
      </w:r>
    </w:p>
    <w:p>
      <w:pPr>
        <w:spacing w:line="400" w:lineRule="exact"/>
        <w:ind w:firstLine="420" w:firstLineChars="200"/>
        <w:rPr>
          <w:b/>
        </w:rPr>
      </w:pPr>
      <w:r>
        <w:rPr>
          <w:rFonts w:hint="eastAsia"/>
        </w:rPr>
        <w:t>2、本合同成交价包含是</w:t>
      </w:r>
      <w:r>
        <w:rPr>
          <w:rFonts w:hint="eastAsia"/>
          <w:u w:val="single"/>
        </w:rPr>
        <w:t xml:space="preserve"> XXXXX </w:t>
      </w:r>
      <w:r>
        <w:rPr>
          <w:rFonts w:hint="eastAsia"/>
        </w:rPr>
        <w:t>的采购、调试、运行及维护、伴随服务、技术资料、人员培训发生的所有含税费用、支付给员工的工资和国家强制缴纳的各种社会保障资金</w:t>
      </w:r>
      <w:r>
        <w:rPr>
          <w:rFonts w:hint="eastAsia"/>
          <w:bCs/>
        </w:rPr>
        <w:t>，以</w:t>
      </w:r>
      <w:r>
        <w:rPr>
          <w:rFonts w:hint="eastAsia"/>
        </w:rPr>
        <w:t>及乙方认为需要的其他费用等。</w:t>
      </w:r>
    </w:p>
    <w:p>
      <w:pPr>
        <w:adjustRightInd w:val="0"/>
        <w:spacing w:line="400" w:lineRule="exact"/>
        <w:ind w:firstLine="420" w:firstLineChars="200"/>
      </w:pPr>
      <w:r>
        <w:rPr>
          <w:rFonts w:hint="eastAsia"/>
        </w:rPr>
        <w:t>3、本合同总价款还包含乙方应当提供的伴随服务/售后服务费用。</w:t>
      </w:r>
    </w:p>
    <w:p>
      <w:pPr>
        <w:autoSpaceDE w:val="0"/>
        <w:autoSpaceDN w:val="0"/>
        <w:adjustRightInd w:val="0"/>
        <w:spacing w:line="400" w:lineRule="exact"/>
        <w:ind w:firstLine="420" w:firstLineChars="200"/>
      </w:pPr>
      <w:r>
        <w:rPr>
          <w:rFonts w:hint="eastAsia"/>
        </w:rPr>
        <w:t>4、本合同执行期间合同价格不变。</w:t>
      </w:r>
    </w:p>
    <w:p>
      <w:pPr>
        <w:autoSpaceDE w:val="0"/>
        <w:autoSpaceDN w:val="0"/>
        <w:adjustRightInd w:val="0"/>
        <w:spacing w:line="400" w:lineRule="exact"/>
        <w:rPr>
          <w:b/>
          <w:bCs/>
        </w:rPr>
      </w:pPr>
      <w:r>
        <w:rPr>
          <w:rFonts w:hint="eastAsia"/>
          <w:b/>
          <w:bCs/>
        </w:rPr>
        <w:t>第三条  组成本合同的有关文件</w:t>
      </w:r>
    </w:p>
    <w:p>
      <w:pPr>
        <w:autoSpaceDE w:val="0"/>
        <w:autoSpaceDN w:val="0"/>
        <w:adjustRightInd w:val="0"/>
        <w:spacing w:line="400" w:lineRule="exact"/>
        <w:ind w:firstLine="420" w:firstLineChars="200"/>
      </w:pPr>
      <w:r>
        <w:rPr>
          <w:rFonts w:hint="eastAsia"/>
        </w:rPr>
        <w:t>下列关于</w:t>
      </w:r>
      <w:r>
        <w:rPr>
          <w:rFonts w:hint="eastAsia"/>
          <w:u w:val="single"/>
        </w:rPr>
        <w:t xml:space="preserve"> XXXXX号 </w:t>
      </w:r>
      <w:r>
        <w:rPr>
          <w:rFonts w:hint="eastAsia"/>
        </w:rPr>
        <w:t>标的招响应文件或与本次采购活动方式相适应的文件及有关附件是本合同不可分割的组成部分，与本合同具有同等法律效力，这些文件包括但不限于：</w:t>
      </w:r>
    </w:p>
    <w:p>
      <w:pPr>
        <w:autoSpaceDE w:val="0"/>
        <w:autoSpaceDN w:val="0"/>
        <w:adjustRightInd w:val="0"/>
        <w:spacing w:line="400" w:lineRule="exact"/>
        <w:ind w:firstLine="420" w:firstLineChars="200"/>
      </w:pPr>
      <w:r>
        <w:rPr>
          <w:rFonts w:hint="eastAsia"/>
        </w:rPr>
        <w:t>1、乙方提供的响应文件和响应文件价格部分；</w:t>
      </w:r>
    </w:p>
    <w:p>
      <w:pPr>
        <w:autoSpaceDE w:val="0"/>
        <w:autoSpaceDN w:val="0"/>
        <w:adjustRightInd w:val="0"/>
        <w:spacing w:line="400" w:lineRule="exact"/>
        <w:ind w:firstLine="420" w:firstLineChars="200"/>
      </w:pPr>
      <w:r>
        <w:rPr>
          <w:rFonts w:hint="eastAsia"/>
        </w:rPr>
        <w:t>2、技术条款偏离表；</w:t>
      </w:r>
    </w:p>
    <w:p>
      <w:pPr>
        <w:autoSpaceDE w:val="0"/>
        <w:autoSpaceDN w:val="0"/>
        <w:adjustRightInd w:val="0"/>
        <w:spacing w:line="400" w:lineRule="exact"/>
        <w:ind w:firstLine="420" w:firstLineChars="200"/>
      </w:pPr>
      <w:r>
        <w:rPr>
          <w:rFonts w:hint="eastAsia"/>
        </w:rPr>
        <w:t>3、供货一览表；</w:t>
      </w:r>
    </w:p>
    <w:p>
      <w:pPr>
        <w:autoSpaceDE w:val="0"/>
        <w:autoSpaceDN w:val="0"/>
        <w:adjustRightInd w:val="0"/>
        <w:spacing w:line="400" w:lineRule="exact"/>
        <w:ind w:firstLine="420" w:firstLineChars="200"/>
      </w:pPr>
      <w:r>
        <w:rPr>
          <w:rFonts w:hint="eastAsia"/>
        </w:rPr>
        <w:t>4、交货一览表；</w:t>
      </w:r>
    </w:p>
    <w:p>
      <w:pPr>
        <w:autoSpaceDE w:val="0"/>
        <w:autoSpaceDN w:val="0"/>
        <w:adjustRightInd w:val="0"/>
        <w:spacing w:line="400" w:lineRule="exact"/>
        <w:ind w:firstLine="420" w:firstLineChars="200"/>
      </w:pPr>
      <w:r>
        <w:rPr>
          <w:rFonts w:hint="eastAsia"/>
        </w:rPr>
        <w:t>5、投标承诺/服务承诺；</w:t>
      </w:r>
    </w:p>
    <w:p>
      <w:pPr>
        <w:autoSpaceDE w:val="0"/>
        <w:autoSpaceDN w:val="0"/>
        <w:adjustRightInd w:val="0"/>
        <w:spacing w:line="400" w:lineRule="exact"/>
        <w:ind w:firstLine="420" w:firstLineChars="200"/>
      </w:pPr>
      <w:r>
        <w:rPr>
          <w:rFonts w:hint="eastAsia"/>
        </w:rPr>
        <w:t>6、成交通知书；</w:t>
      </w:r>
    </w:p>
    <w:p>
      <w:pPr>
        <w:autoSpaceDE w:val="0"/>
        <w:autoSpaceDN w:val="0"/>
        <w:adjustRightInd w:val="0"/>
        <w:spacing w:line="400" w:lineRule="exact"/>
        <w:ind w:firstLine="420" w:firstLineChars="200"/>
      </w:pPr>
      <w:r>
        <w:rPr>
          <w:rFonts w:hint="eastAsia"/>
        </w:rPr>
        <w:t>7、甲乙双方商定的其他文件等。</w:t>
      </w:r>
    </w:p>
    <w:p>
      <w:pPr>
        <w:autoSpaceDE w:val="0"/>
        <w:autoSpaceDN w:val="0"/>
        <w:adjustRightInd w:val="0"/>
        <w:spacing w:line="400" w:lineRule="exact"/>
        <w:rPr>
          <w:b/>
          <w:bCs/>
        </w:rPr>
      </w:pPr>
      <w:r>
        <w:rPr>
          <w:rFonts w:hint="eastAsia"/>
          <w:b/>
          <w:bCs/>
        </w:rPr>
        <w:t>第四条  权利保证</w:t>
      </w:r>
    </w:p>
    <w:p>
      <w:pPr>
        <w:autoSpaceDE w:val="0"/>
        <w:autoSpaceDN w:val="0"/>
        <w:adjustRightInd w:val="0"/>
        <w:spacing w:line="400" w:lineRule="exact"/>
        <w:ind w:firstLine="420" w:firstLineChars="200"/>
      </w:pPr>
      <w:r>
        <w:rPr>
          <w:rFonts w:hint="eastAsia"/>
        </w:rPr>
        <w:t>乙方应保证甲方在使用该服务或其任何一部分时不受第三方提出侵犯其专利权、版权、商标权或其他权利的起诉。一旦出现侵权，乙方应承担全部责任。</w:t>
      </w:r>
    </w:p>
    <w:p>
      <w:pPr>
        <w:autoSpaceDE w:val="0"/>
        <w:autoSpaceDN w:val="0"/>
        <w:adjustRightInd w:val="0"/>
        <w:spacing w:line="400" w:lineRule="exact"/>
        <w:rPr>
          <w:b/>
          <w:bCs/>
        </w:rPr>
      </w:pPr>
      <w:r>
        <w:rPr>
          <w:rFonts w:hint="eastAsia"/>
          <w:b/>
          <w:bCs/>
        </w:rPr>
        <w:t>第五条  质量保证</w:t>
      </w:r>
    </w:p>
    <w:p>
      <w:pPr>
        <w:autoSpaceDE w:val="0"/>
        <w:autoSpaceDN w:val="0"/>
        <w:adjustRightInd w:val="0"/>
        <w:spacing w:line="400" w:lineRule="exact"/>
        <w:ind w:firstLine="420" w:firstLineChars="200"/>
      </w:pPr>
      <w:r>
        <w:rPr>
          <w:rFonts w:hint="eastAsia"/>
        </w:rPr>
        <w:t>乙方所提供的服务的技术规格应与采购文件规定的技术规格及所附的“技术条款偏离表”相一致；若技术性能无特殊说明，则按国家有关部门最新颁布的标准及规范为准。</w:t>
      </w:r>
    </w:p>
    <w:p>
      <w:pPr>
        <w:autoSpaceDE w:val="0"/>
        <w:autoSpaceDN w:val="0"/>
        <w:adjustRightInd w:val="0"/>
        <w:spacing w:line="400" w:lineRule="exact"/>
        <w:rPr>
          <w:b/>
          <w:bCs/>
        </w:rPr>
      </w:pPr>
      <w:r>
        <w:rPr>
          <w:rFonts w:hint="eastAsia"/>
          <w:b/>
          <w:bCs/>
        </w:rPr>
        <w:t>第六条  交货和验收</w:t>
      </w:r>
    </w:p>
    <w:p>
      <w:pPr>
        <w:autoSpaceDE w:val="0"/>
        <w:autoSpaceDN w:val="0"/>
        <w:adjustRightInd w:val="0"/>
        <w:spacing w:line="400" w:lineRule="exact"/>
        <w:ind w:firstLine="420" w:firstLineChars="200"/>
      </w:pPr>
      <w:r>
        <w:rPr>
          <w:rFonts w:hint="eastAsia"/>
        </w:rPr>
        <w:t>1、服务时间：3年，2026年9月1日—2029年8月31日</w:t>
      </w:r>
      <w:r>
        <w:rPr>
          <w:rFonts w:hint="eastAsia" w:ascii="宋体" w:hAnsi="宋体" w:cs="宋体"/>
          <w:bCs/>
          <w:szCs w:val="21"/>
        </w:rPr>
        <w:t>（合同一年一签，</w:t>
      </w:r>
      <w:r>
        <w:rPr>
          <w:rFonts w:hint="eastAsia"/>
        </w:rPr>
        <w:t>根据项目服务对象满意度测评和学校《运维保障服务项目分期考核表》决定是否续签</w:t>
      </w:r>
      <w:r>
        <w:rPr>
          <w:rFonts w:hint="eastAsia" w:ascii="宋体" w:hAnsi="宋体" w:cs="宋体"/>
          <w:bCs/>
          <w:szCs w:val="21"/>
        </w:rPr>
        <w:t>）</w:t>
      </w:r>
    </w:p>
    <w:p>
      <w:pPr>
        <w:autoSpaceDE w:val="0"/>
        <w:autoSpaceDN w:val="0"/>
        <w:adjustRightInd w:val="0"/>
        <w:spacing w:line="400" w:lineRule="exact"/>
        <w:ind w:firstLine="420" w:firstLineChars="200"/>
      </w:pPr>
      <w:r>
        <w:rPr>
          <w:rFonts w:hint="eastAsia"/>
        </w:rPr>
        <w:t>2、验收标准：按行业通行标准、乙方响应文件的承诺和《江苏经贸职业技术学院服务类采购项目履约验收报告》规定。</w:t>
      </w:r>
    </w:p>
    <w:p>
      <w:pPr>
        <w:autoSpaceDE w:val="0"/>
        <w:autoSpaceDN w:val="0"/>
        <w:adjustRightInd w:val="0"/>
        <w:spacing w:line="400" w:lineRule="exact"/>
        <w:rPr>
          <w:b/>
          <w:bCs/>
        </w:rPr>
      </w:pPr>
      <w:r>
        <w:rPr>
          <w:rFonts w:hint="eastAsia"/>
          <w:b/>
          <w:bCs/>
        </w:rPr>
        <w:t>第七条  履约保证金</w:t>
      </w:r>
    </w:p>
    <w:p>
      <w:pPr>
        <w:autoSpaceDE w:val="0"/>
        <w:autoSpaceDN w:val="0"/>
        <w:adjustRightInd w:val="0"/>
        <w:spacing w:line="400" w:lineRule="exact"/>
        <w:ind w:firstLine="420" w:firstLineChars="200"/>
      </w:pPr>
      <w:r>
        <w:rPr>
          <w:rFonts w:hint="eastAsia"/>
        </w:rPr>
        <w:t>1、乙方在领取成交通知书5天内，向甲方交纳合同总价的</w:t>
      </w:r>
      <w:r>
        <w:rPr>
          <w:rFonts w:hint="eastAsia"/>
          <w:b/>
        </w:rPr>
        <w:t>5%</w:t>
      </w:r>
      <w:r>
        <w:rPr>
          <w:rFonts w:hint="eastAsia"/>
        </w:rPr>
        <w:t>作为本项目的履约保证金，履约保证金在合同履行完毕且经用户单位确认质量、服务无问题的情况下退还(不计息)。</w:t>
      </w:r>
    </w:p>
    <w:p>
      <w:pPr>
        <w:autoSpaceDE w:val="0"/>
        <w:autoSpaceDN w:val="0"/>
        <w:adjustRightInd w:val="0"/>
        <w:spacing w:line="400" w:lineRule="exact"/>
        <w:ind w:firstLine="420" w:firstLineChars="200"/>
      </w:pPr>
      <w:r>
        <w:rPr>
          <w:rFonts w:hint="eastAsia"/>
        </w:rPr>
        <w:t>2、如乙方未能履行合同规定的义务，甲方有权从履约保证金中取得补偿。</w:t>
      </w:r>
    </w:p>
    <w:p>
      <w:pPr>
        <w:autoSpaceDE w:val="0"/>
        <w:autoSpaceDN w:val="0"/>
        <w:adjustRightInd w:val="0"/>
        <w:spacing w:line="400" w:lineRule="exact"/>
        <w:ind w:firstLine="420" w:firstLineChars="200"/>
      </w:pPr>
      <w:r>
        <w:rPr>
          <w:rFonts w:hint="eastAsia"/>
        </w:rPr>
        <w:t>3、履约保证金扣除甲方应得的补偿后的余额在有效期满后七工作日内无息退还给乙方。</w:t>
      </w:r>
    </w:p>
    <w:p>
      <w:pPr>
        <w:autoSpaceDE w:val="0"/>
        <w:autoSpaceDN w:val="0"/>
        <w:adjustRightInd w:val="0"/>
        <w:spacing w:line="400" w:lineRule="exact"/>
        <w:rPr>
          <w:b/>
          <w:bCs/>
        </w:rPr>
      </w:pPr>
      <w:r>
        <w:rPr>
          <w:rFonts w:hint="eastAsia"/>
          <w:b/>
          <w:bCs/>
        </w:rPr>
        <w:t>第八条  合同款支付</w:t>
      </w:r>
    </w:p>
    <w:p>
      <w:pPr>
        <w:autoSpaceDE w:val="0"/>
        <w:autoSpaceDN w:val="0"/>
        <w:adjustRightInd w:val="0"/>
        <w:spacing w:line="400" w:lineRule="exact"/>
        <w:ind w:firstLine="420" w:firstLineChars="200"/>
      </w:pPr>
      <w:r>
        <w:rPr>
          <w:rFonts w:hint="eastAsia"/>
        </w:rPr>
        <w:t>1、本合同项下所有款项均以人民币支付。</w:t>
      </w:r>
    </w:p>
    <w:p>
      <w:pPr>
        <w:autoSpaceDE w:val="0"/>
        <w:autoSpaceDN w:val="0"/>
        <w:adjustRightInd w:val="0"/>
        <w:spacing w:line="400" w:lineRule="exact"/>
        <w:ind w:firstLine="420" w:firstLineChars="200"/>
      </w:pPr>
      <w:r>
        <w:rPr>
          <w:rFonts w:hint="eastAsia"/>
        </w:rPr>
        <w:t>2、本合同项下的采购资金由甲方自行支付，乙方向甲方开具发票。</w:t>
      </w:r>
    </w:p>
    <w:p>
      <w:pPr>
        <w:widowControl/>
        <w:shd w:val="clear" w:color="auto" w:fill="FFFFFF"/>
        <w:adjustRightInd w:val="0"/>
        <w:spacing w:line="440" w:lineRule="exact"/>
        <w:ind w:firstLine="420" w:firstLineChars="200"/>
      </w:pPr>
      <w:r>
        <w:rPr>
          <w:rFonts w:hint="eastAsia"/>
        </w:rPr>
        <w:t>3、付款条件：中标人一旦中标，和学校签订服务合同，合同委托服务时间为2026年9月1日—2029年8月31日，合同一年一签。托管费用为后付费制, 分二期支付：第一期为合同签订后次年的3月份支付合同金额的50%（根据服务对象满意度测评和学校《运维保障服务项目分期考核表》进行考核后支付）</w:t>
      </w:r>
      <w:r>
        <w:t>，第二期为合同到期</w:t>
      </w:r>
      <w:r>
        <w:rPr>
          <w:rFonts w:hint="eastAsia"/>
        </w:rPr>
        <w:t>并验收合格后</w:t>
      </w:r>
      <w:r>
        <w:t>一个月内支付剩余款项。</w:t>
      </w:r>
      <w:r>
        <w:rPr>
          <w:rFonts w:hint="eastAsia"/>
        </w:rPr>
        <w:t>服务期内一年一验收，如无违法、违规、违约行为和安全责任事故，且项目验收合格后支付服务费。验收标准参照《江苏经贸职业技术学院服务类采购项目履约验收报告》规定再决定是否签订）。</w:t>
      </w:r>
    </w:p>
    <w:p>
      <w:pPr>
        <w:autoSpaceDE w:val="0"/>
        <w:autoSpaceDN w:val="0"/>
        <w:adjustRightInd w:val="0"/>
        <w:spacing w:line="400" w:lineRule="exact"/>
        <w:ind w:firstLine="420" w:firstLineChars="200"/>
      </w:pPr>
      <w:r>
        <w:rPr>
          <w:rFonts w:hint="eastAsia"/>
        </w:rPr>
        <w:t>注：每次付款前中标人必须提供符合国家规定的等额增值税普通发票，否则招标人有权不予支付且并不视为招标人违约，且不影响中标人继续履行本合同项下的义务。</w:t>
      </w:r>
    </w:p>
    <w:p>
      <w:pPr>
        <w:widowControl/>
        <w:shd w:val="clear" w:color="auto" w:fill="FFFFFF"/>
        <w:adjustRightInd w:val="0"/>
        <w:spacing w:after="240" w:line="440" w:lineRule="exact"/>
        <w:ind w:firstLine="420" w:firstLineChars="200"/>
      </w:pPr>
      <w:r>
        <w:rPr>
          <w:rFonts w:hint="eastAsia"/>
        </w:rPr>
        <w:t>合同具体条款及签订事宜，请本项目中标候选人于结果公示结束后，与该项目负责单位后勤基建处联系协商签订。</w:t>
      </w:r>
    </w:p>
    <w:p>
      <w:pPr>
        <w:autoSpaceDE w:val="0"/>
        <w:autoSpaceDN w:val="0"/>
        <w:adjustRightInd w:val="0"/>
        <w:spacing w:line="400" w:lineRule="exact"/>
        <w:rPr>
          <w:b/>
          <w:bCs/>
        </w:rPr>
      </w:pPr>
      <w:r>
        <w:rPr>
          <w:rFonts w:hint="eastAsia"/>
          <w:b/>
          <w:bCs/>
        </w:rPr>
        <w:t>第九条  违约责任</w:t>
      </w:r>
    </w:p>
    <w:p>
      <w:pPr>
        <w:adjustRightInd w:val="0"/>
        <w:spacing w:line="400" w:lineRule="exact"/>
        <w:ind w:firstLine="420" w:firstLineChars="200"/>
      </w:pPr>
      <w:r>
        <w:rPr>
          <w:rFonts w:hint="eastAsia"/>
        </w:rPr>
        <w:t>1、甲方无正当理由拒收服务、拒付服务款的，由甲方向乙方偿付合同总价的5%违约金。</w:t>
      </w:r>
    </w:p>
    <w:p>
      <w:pPr>
        <w:adjustRightInd w:val="0"/>
        <w:spacing w:line="400" w:lineRule="exact"/>
        <w:ind w:firstLine="420" w:firstLineChars="200"/>
      </w:pPr>
      <w:r>
        <w:rPr>
          <w:rFonts w:hint="eastAsia"/>
        </w:rPr>
        <w:t>2、甲方未按合同规定的期限向乙方支付货款的，每逾期1天甲方向乙方偿付欠款总额的5‰滞纳金，但累计滞纳金总额不超过欠款总额的5%。</w:t>
      </w:r>
    </w:p>
    <w:p>
      <w:pPr>
        <w:adjustRightInd w:val="0"/>
        <w:spacing w:line="400" w:lineRule="exact"/>
        <w:ind w:firstLine="420" w:firstLineChars="200"/>
      </w:pPr>
      <w:r>
        <w:rPr>
          <w:rFonts w:hint="eastAsia"/>
        </w:rPr>
        <w:t>3、如乙方不能交付服务、完成安装调试的，乙方应向甲方支付合同总价5%的违约金。</w:t>
      </w:r>
    </w:p>
    <w:p>
      <w:pPr>
        <w:adjustRightInd w:val="0"/>
        <w:spacing w:line="400" w:lineRule="exact"/>
        <w:ind w:firstLine="420" w:firstLineChars="200"/>
      </w:pPr>
      <w:r>
        <w:rPr>
          <w:rFonts w:hint="eastAsia"/>
        </w:rPr>
        <w:t>4、乙方逾期交付的，每逾期1天，乙方向甲方偿付合同总额的5‰的滞纳金。如乙方逾期交付达10天，甲方有权解除合同，解除合同的通知自到达乙方时生效。</w:t>
      </w:r>
    </w:p>
    <w:p>
      <w:pPr>
        <w:adjustRightInd w:val="0"/>
        <w:spacing w:line="400" w:lineRule="exact"/>
        <w:ind w:firstLine="420" w:firstLineChars="200"/>
      </w:pPr>
      <w:r>
        <w:rPr>
          <w:rFonts w:hint="eastAsia"/>
        </w:rPr>
        <w:t>5、乙方所交付的服务不符合合同规定的，甲方有权拒收。甲方拒收的，乙方应向甲方支付货款总额5%的违约金。甲方未拒收的，采购代理机构发现后将向有关部门反映，并责成乙方按照采购结果提供服务。</w:t>
      </w:r>
    </w:p>
    <w:p>
      <w:pPr>
        <w:adjustRightInd w:val="0"/>
        <w:spacing w:line="400" w:lineRule="exact"/>
        <w:ind w:firstLine="420" w:firstLineChars="200"/>
      </w:pPr>
      <w:r>
        <w:rPr>
          <w:rFonts w:hint="eastAsia"/>
        </w:rPr>
        <w:t>6、在乙方承诺的或国家规定的质量保证期内(取两者中最长的期限)，如经乙方两次修改，服务仍不能达到合同约定的质量标准，甲方有权解除合同，乙方应退回全部款项，并按第3款处理，同时，乙方还须赔偿甲方因此遭受的损失。</w:t>
      </w:r>
    </w:p>
    <w:p>
      <w:pPr>
        <w:adjustRightInd w:val="0"/>
        <w:spacing w:line="400" w:lineRule="exact"/>
        <w:ind w:firstLine="420" w:firstLineChars="200"/>
      </w:pPr>
      <w:r>
        <w:rPr>
          <w:rFonts w:hint="eastAsia"/>
        </w:rPr>
        <w:t>7、乙方在承担上述4-6款一项或多项违约责任后，仍应继续履行合同规定的义务(甲方解除合同的除外)。甲方未能及时追究乙方的任何一项违约责任并不表明甲方放弃追究乙方该项或其他违约责任。</w:t>
      </w:r>
    </w:p>
    <w:p>
      <w:pPr>
        <w:adjustRightInd w:val="0"/>
        <w:spacing w:line="400" w:lineRule="exact"/>
        <w:ind w:firstLine="420" w:firstLineChars="200"/>
      </w:pPr>
      <w:r>
        <w:rPr>
          <w:rFonts w:hint="eastAsia"/>
        </w:rPr>
        <w:t>8、乙方投标属虚假承诺，或经权威部门监测提供的服务不能满足采购文件要求，或是由于乙方的过错造成合同无法继续履行的，乙方应向甲方支付不少于合同总价30%赔偿金。</w:t>
      </w:r>
    </w:p>
    <w:p>
      <w:pPr>
        <w:autoSpaceDE w:val="0"/>
        <w:autoSpaceDN w:val="0"/>
        <w:adjustRightInd w:val="0"/>
        <w:spacing w:line="400" w:lineRule="exact"/>
        <w:rPr>
          <w:b/>
          <w:bCs/>
        </w:rPr>
      </w:pPr>
      <w:r>
        <w:rPr>
          <w:rFonts w:hint="eastAsia"/>
          <w:b/>
          <w:bCs/>
        </w:rPr>
        <w:t>第十条  项目履约验收</w:t>
      </w:r>
    </w:p>
    <w:p>
      <w:pPr>
        <w:adjustRightInd w:val="0"/>
        <w:spacing w:line="400" w:lineRule="exact"/>
        <w:ind w:firstLine="420" w:firstLineChars="200"/>
      </w:pPr>
      <w:r>
        <w:rPr>
          <w:rFonts w:hint="eastAsia"/>
        </w:rPr>
        <w:t>1、甲方有权对乙方项目实施执行过程及完成结果进行履约验收。</w:t>
      </w:r>
    </w:p>
    <w:p>
      <w:pPr>
        <w:adjustRightInd w:val="0"/>
        <w:spacing w:line="400" w:lineRule="exact"/>
        <w:ind w:firstLine="420" w:firstLineChars="200"/>
      </w:pPr>
      <w:r>
        <w:rPr>
          <w:rFonts w:hint="eastAsia"/>
        </w:rPr>
        <w:t>2、</w:t>
      </w:r>
      <w:r>
        <w:rPr>
          <w:rFonts w:hint="eastAsia"/>
          <w:spacing w:val="-6"/>
        </w:rPr>
        <w:t>甲方可以邀请参加本项目的其他供应商或者第三方机构参与验收，乙方应积极配合并响应</w:t>
      </w:r>
      <w:r>
        <w:rPr>
          <w:rFonts w:hint="eastAsia"/>
        </w:rPr>
        <w:t>。</w:t>
      </w:r>
    </w:p>
    <w:p>
      <w:pPr>
        <w:adjustRightInd w:val="0"/>
        <w:spacing w:line="400" w:lineRule="exact"/>
        <w:ind w:firstLine="420" w:firstLineChars="200"/>
      </w:pPr>
      <w:r>
        <w:rPr>
          <w:rFonts w:hint="eastAsia"/>
        </w:rPr>
        <w:t>3、参与验收的供应商或者第三方机构的意见作为验收书的参考资料一并存档。</w:t>
      </w:r>
    </w:p>
    <w:p>
      <w:pPr>
        <w:autoSpaceDE w:val="0"/>
        <w:autoSpaceDN w:val="0"/>
        <w:adjustRightInd w:val="0"/>
        <w:spacing w:line="400" w:lineRule="exact"/>
        <w:rPr>
          <w:b/>
          <w:bCs/>
        </w:rPr>
      </w:pPr>
      <w:r>
        <w:rPr>
          <w:rFonts w:hint="eastAsia"/>
          <w:b/>
          <w:bCs/>
        </w:rPr>
        <w:t>第十一条  合同的变更和终止</w:t>
      </w:r>
    </w:p>
    <w:p>
      <w:pPr>
        <w:adjustRightInd w:val="0"/>
        <w:spacing w:line="400" w:lineRule="exact"/>
        <w:ind w:firstLine="420" w:firstLineChars="200"/>
      </w:pPr>
      <w:r>
        <w:rPr>
          <w:rFonts w:hint="eastAsia"/>
        </w:rPr>
        <w:t>1、本合同一经签订，甲乙双方不得擅自变更、中止或终止合同。</w:t>
      </w:r>
    </w:p>
    <w:p>
      <w:pPr>
        <w:adjustRightInd w:val="0"/>
        <w:spacing w:line="400" w:lineRule="exact"/>
        <w:ind w:firstLine="420" w:firstLineChars="200"/>
      </w:pPr>
      <w:r>
        <w:rPr>
          <w:rFonts w:hint="eastAsia"/>
        </w:rPr>
        <w:t>2、除发生法律规定的不能预见、不能避免并不能克服的客观情况外，甲乙双方不得放弃或拒绝履行合同。</w:t>
      </w:r>
    </w:p>
    <w:p>
      <w:pPr>
        <w:autoSpaceDE w:val="0"/>
        <w:autoSpaceDN w:val="0"/>
        <w:adjustRightInd w:val="0"/>
        <w:spacing w:line="400" w:lineRule="exact"/>
        <w:rPr>
          <w:b/>
          <w:bCs/>
        </w:rPr>
      </w:pPr>
      <w:r>
        <w:rPr>
          <w:rFonts w:hint="eastAsia"/>
          <w:b/>
          <w:bCs/>
        </w:rPr>
        <w:t>第十二条  合同的转让</w:t>
      </w:r>
    </w:p>
    <w:p>
      <w:pPr>
        <w:adjustRightInd w:val="0"/>
        <w:spacing w:line="400" w:lineRule="exact"/>
        <w:ind w:firstLine="420" w:firstLineChars="200"/>
      </w:pPr>
      <w:r>
        <w:rPr>
          <w:rFonts w:hint="eastAsia"/>
        </w:rPr>
        <w:t>乙方不得擅自部分或全部转让其应履行的合同义务。</w:t>
      </w:r>
    </w:p>
    <w:p>
      <w:pPr>
        <w:autoSpaceDE w:val="0"/>
        <w:autoSpaceDN w:val="0"/>
        <w:adjustRightInd w:val="0"/>
        <w:spacing w:line="400" w:lineRule="exact"/>
        <w:rPr>
          <w:b/>
          <w:bCs/>
        </w:rPr>
      </w:pPr>
      <w:r>
        <w:rPr>
          <w:rFonts w:hint="eastAsia"/>
          <w:b/>
          <w:bCs/>
        </w:rPr>
        <w:t>第十三条  争议的解决</w:t>
      </w:r>
    </w:p>
    <w:p>
      <w:pPr>
        <w:adjustRightInd w:val="0"/>
        <w:spacing w:line="400" w:lineRule="exact"/>
        <w:ind w:firstLine="420" w:firstLineChars="200"/>
      </w:pPr>
      <w:r>
        <w:rPr>
          <w:rFonts w:hint="eastAsia"/>
        </w:rPr>
        <w:t>1、因服务的质量问题发生争议的，应当邀请国家认可的质量检测机构对服务质量进行鉴定。符合标准的，鉴定费由甲方承担；不符合质量标准的，鉴定费由乙方承担。</w:t>
      </w:r>
    </w:p>
    <w:p>
      <w:pPr>
        <w:adjustRightInd w:val="0"/>
        <w:spacing w:line="400" w:lineRule="exact"/>
        <w:ind w:firstLine="420" w:firstLineChars="200"/>
      </w:pPr>
      <w:r>
        <w:rPr>
          <w:rFonts w:hint="eastAsia"/>
        </w:rPr>
        <w:t>2、因履行本合同引起的或与本合同有关的争议，甲、乙双方应首先通过友好协商解决，如果协商不能解决争议，则可向甲方所在地有管辖权的人民法院提起诉讼。</w:t>
      </w:r>
    </w:p>
    <w:p>
      <w:pPr>
        <w:autoSpaceDE w:val="0"/>
        <w:autoSpaceDN w:val="0"/>
        <w:adjustRightInd w:val="0"/>
        <w:spacing w:line="400" w:lineRule="exact"/>
        <w:rPr>
          <w:b/>
          <w:bCs/>
        </w:rPr>
      </w:pPr>
      <w:r>
        <w:rPr>
          <w:rFonts w:hint="eastAsia"/>
          <w:b/>
          <w:bCs/>
        </w:rPr>
        <w:t>第十四条  诚实信用</w:t>
      </w:r>
    </w:p>
    <w:p>
      <w:pPr>
        <w:adjustRightInd w:val="0"/>
        <w:spacing w:line="400" w:lineRule="exact"/>
        <w:ind w:firstLine="420" w:firstLineChars="200"/>
      </w:pPr>
      <w:r>
        <w:rPr>
          <w:rFonts w:hint="eastAsia"/>
        </w:rPr>
        <w:t>乙方应诚实信用，严格按照采购文件要求和投标承诺履行合同，不向甲方进行商业贿赂或者提供不正当利益。</w:t>
      </w:r>
    </w:p>
    <w:p>
      <w:pPr>
        <w:autoSpaceDE w:val="0"/>
        <w:autoSpaceDN w:val="0"/>
        <w:adjustRightInd w:val="0"/>
        <w:spacing w:line="400" w:lineRule="exact"/>
        <w:rPr>
          <w:b/>
          <w:bCs/>
        </w:rPr>
      </w:pPr>
      <w:r>
        <w:rPr>
          <w:rFonts w:hint="eastAsia"/>
          <w:b/>
          <w:bCs/>
        </w:rPr>
        <w:t>第十五条  合同生效及其他</w:t>
      </w:r>
    </w:p>
    <w:p>
      <w:pPr>
        <w:adjustRightInd w:val="0"/>
        <w:spacing w:line="400" w:lineRule="exact"/>
        <w:ind w:firstLine="420" w:firstLineChars="200"/>
      </w:pPr>
      <w:r>
        <w:rPr>
          <w:rFonts w:hint="eastAsia"/>
        </w:rPr>
        <w:t>1、本合同自双方签字或盖章之日起生效。</w:t>
      </w:r>
    </w:p>
    <w:p>
      <w:pPr>
        <w:adjustRightInd w:val="0"/>
        <w:spacing w:line="400" w:lineRule="exact"/>
        <w:ind w:firstLine="420" w:firstLineChars="200"/>
      </w:pPr>
      <w:r>
        <w:rPr>
          <w:rFonts w:hint="eastAsia"/>
        </w:rPr>
        <w:t>2、本合同一式陆份，甲方执</w:t>
      </w:r>
      <w:r>
        <w:rPr>
          <w:rFonts w:hint="eastAsia"/>
          <w:b/>
        </w:rPr>
        <w:t>肆份</w:t>
      </w:r>
      <w:r>
        <w:rPr>
          <w:rFonts w:hint="eastAsia"/>
        </w:rPr>
        <w:t>，乙方执</w:t>
      </w:r>
      <w:r>
        <w:rPr>
          <w:rFonts w:hint="eastAsia"/>
          <w:b/>
        </w:rPr>
        <w:t>贰份</w:t>
      </w:r>
      <w:r>
        <w:rPr>
          <w:rFonts w:hint="eastAsia"/>
        </w:rPr>
        <w:t>。</w:t>
      </w:r>
    </w:p>
    <w:p>
      <w:pPr>
        <w:adjustRightInd w:val="0"/>
        <w:spacing w:line="400" w:lineRule="exact"/>
        <w:ind w:firstLine="420" w:firstLineChars="200"/>
      </w:pPr>
      <w:r>
        <w:rPr>
          <w:rFonts w:hint="eastAsia"/>
        </w:rPr>
        <w:t>3、本项目采购需求作为本合同附件。</w:t>
      </w:r>
    </w:p>
    <w:p>
      <w:pPr>
        <w:adjustRightInd w:val="0"/>
        <w:spacing w:line="400" w:lineRule="exact"/>
        <w:ind w:firstLine="420" w:firstLineChars="200"/>
      </w:pPr>
      <w:r>
        <w:rPr>
          <w:rFonts w:hint="eastAsia"/>
        </w:rPr>
        <w:t>4、本合同应按照中华人民共和国的现行法律进行解释。</w:t>
      </w:r>
    </w:p>
    <w:tbl>
      <w:tblPr>
        <w:tblStyle w:val="44"/>
        <w:tblW w:w="9286" w:type="dxa"/>
        <w:jc w:val="center"/>
        <w:tblLayout w:type="fixed"/>
        <w:tblCellMar>
          <w:top w:w="0" w:type="dxa"/>
          <w:left w:w="0" w:type="dxa"/>
          <w:bottom w:w="0" w:type="dxa"/>
          <w:right w:w="0" w:type="dxa"/>
        </w:tblCellMar>
      </w:tblPr>
      <w:tblGrid>
        <w:gridCol w:w="4643"/>
        <w:gridCol w:w="4643"/>
      </w:tblGrid>
      <w:tr>
        <w:tblPrEx>
          <w:tblCellMar>
            <w:top w:w="0" w:type="dxa"/>
            <w:left w:w="0" w:type="dxa"/>
            <w:bottom w:w="0" w:type="dxa"/>
            <w:right w:w="0" w:type="dxa"/>
          </w:tblCellMar>
        </w:tblPrEx>
        <w:trPr>
          <w:trHeight w:val="697" w:hRule="atLeast"/>
          <w:jc w:val="center"/>
        </w:trPr>
        <w:tc>
          <w:tcPr>
            <w:tcW w:w="4643" w:type="dxa"/>
            <w:tcBorders>
              <w:top w:val="nil"/>
              <w:left w:val="nil"/>
              <w:bottom w:val="nil"/>
              <w:right w:val="nil"/>
            </w:tcBorders>
          </w:tcPr>
          <w:p>
            <w:pPr>
              <w:adjustRightInd w:val="0"/>
            </w:pPr>
            <w:r>
              <w:rPr>
                <w:rFonts w:hint="eastAsia"/>
              </w:rPr>
              <w:t>甲方(采购人)：</w:t>
            </w:r>
          </w:p>
          <w:p>
            <w:pPr>
              <w:adjustRightInd w:val="0"/>
            </w:pPr>
          </w:p>
          <w:p>
            <w:pPr>
              <w:adjustRightInd w:val="0"/>
            </w:pPr>
            <w:r>
              <w:rPr>
                <w:rFonts w:hint="eastAsia"/>
              </w:rPr>
              <w:t xml:space="preserve">     </w:t>
            </w:r>
            <w:r>
              <w:rPr>
                <w:rFonts w:hint="eastAsia"/>
                <w:b/>
              </w:rPr>
              <w:t xml:space="preserve">江苏经贸职业技术学院 </w:t>
            </w:r>
            <w:r>
              <w:rPr>
                <w:rFonts w:hint="eastAsia"/>
              </w:rPr>
              <w:t>(盖章)</w:t>
            </w:r>
          </w:p>
        </w:tc>
        <w:tc>
          <w:tcPr>
            <w:tcW w:w="4643" w:type="dxa"/>
            <w:tcBorders>
              <w:top w:val="nil"/>
              <w:left w:val="nil"/>
              <w:bottom w:val="nil"/>
              <w:right w:val="nil"/>
            </w:tcBorders>
          </w:tcPr>
          <w:p>
            <w:pPr>
              <w:adjustRightInd w:val="0"/>
            </w:pPr>
            <w:r>
              <w:rPr>
                <w:rFonts w:hint="eastAsia"/>
              </w:rPr>
              <w:t>乙方(供应商)：</w:t>
            </w:r>
          </w:p>
          <w:p>
            <w:pPr>
              <w:adjustRightInd w:val="0"/>
            </w:pPr>
          </w:p>
          <w:p>
            <w:pPr>
              <w:adjustRightInd w:val="0"/>
            </w:pPr>
            <w:r>
              <w:rPr>
                <w:rFonts w:hint="eastAsia"/>
              </w:rPr>
              <w:t xml:space="preserve">     </w:t>
            </w:r>
            <w:r>
              <w:rPr>
                <w:rFonts w:hint="eastAsia"/>
                <w:b/>
              </w:rPr>
              <w:t xml:space="preserve">XXXXX </w:t>
            </w:r>
            <w:r>
              <w:rPr>
                <w:rFonts w:hint="eastAsia"/>
              </w:rPr>
              <w:t>(盖章)</w:t>
            </w:r>
          </w:p>
        </w:tc>
      </w:tr>
      <w:tr>
        <w:tblPrEx>
          <w:tblCellMar>
            <w:top w:w="0" w:type="dxa"/>
            <w:left w:w="0" w:type="dxa"/>
            <w:bottom w:w="0" w:type="dxa"/>
            <w:right w:w="0" w:type="dxa"/>
          </w:tblCellMar>
        </w:tblPrEx>
        <w:trPr>
          <w:trHeight w:val="680" w:hRule="atLeast"/>
          <w:jc w:val="center"/>
        </w:trPr>
        <w:tc>
          <w:tcPr>
            <w:tcW w:w="4643" w:type="dxa"/>
            <w:tcBorders>
              <w:top w:val="nil"/>
              <w:left w:val="nil"/>
              <w:bottom w:val="nil"/>
              <w:right w:val="nil"/>
            </w:tcBorders>
            <w:vAlign w:val="center"/>
          </w:tcPr>
          <w:p>
            <w:pPr>
              <w:adjustRightInd w:val="0"/>
            </w:pPr>
            <w:r>
              <w:rPr>
                <w:rFonts w:hint="eastAsia"/>
              </w:rPr>
              <w:t>代表人：</w:t>
            </w:r>
          </w:p>
        </w:tc>
        <w:tc>
          <w:tcPr>
            <w:tcW w:w="4643" w:type="dxa"/>
            <w:tcBorders>
              <w:top w:val="nil"/>
              <w:left w:val="nil"/>
              <w:bottom w:val="nil"/>
              <w:right w:val="nil"/>
            </w:tcBorders>
            <w:vAlign w:val="center"/>
          </w:tcPr>
          <w:p>
            <w:pPr>
              <w:adjustRightInd w:val="0"/>
            </w:pPr>
            <w:r>
              <w:rPr>
                <w:rFonts w:hint="eastAsia"/>
              </w:rPr>
              <w:t>代表人：</w:t>
            </w:r>
          </w:p>
        </w:tc>
      </w:tr>
      <w:tr>
        <w:tblPrEx>
          <w:tblCellMar>
            <w:top w:w="0" w:type="dxa"/>
            <w:left w:w="0" w:type="dxa"/>
            <w:bottom w:w="0" w:type="dxa"/>
            <w:right w:w="0" w:type="dxa"/>
          </w:tblCellMar>
        </w:tblPrEx>
        <w:trPr>
          <w:trHeight w:val="680" w:hRule="atLeast"/>
          <w:jc w:val="center"/>
        </w:trPr>
        <w:tc>
          <w:tcPr>
            <w:tcW w:w="4643" w:type="dxa"/>
            <w:tcBorders>
              <w:top w:val="nil"/>
              <w:left w:val="nil"/>
              <w:bottom w:val="nil"/>
              <w:right w:val="nil"/>
            </w:tcBorders>
            <w:vAlign w:val="center"/>
          </w:tcPr>
          <w:p>
            <w:pPr>
              <w:adjustRightInd w:val="0"/>
            </w:pPr>
            <w:r>
              <w:rPr>
                <w:rFonts w:hint="eastAsia"/>
              </w:rPr>
              <w:t>电    话：</w:t>
            </w:r>
          </w:p>
        </w:tc>
        <w:tc>
          <w:tcPr>
            <w:tcW w:w="4643" w:type="dxa"/>
            <w:tcBorders>
              <w:top w:val="nil"/>
              <w:left w:val="nil"/>
              <w:bottom w:val="nil"/>
              <w:right w:val="nil"/>
            </w:tcBorders>
            <w:vAlign w:val="center"/>
          </w:tcPr>
          <w:p>
            <w:pPr>
              <w:adjustRightInd w:val="0"/>
            </w:pPr>
            <w:r>
              <w:rPr>
                <w:rFonts w:hint="eastAsia"/>
              </w:rPr>
              <w:t>电    话：</w:t>
            </w:r>
          </w:p>
        </w:tc>
      </w:tr>
      <w:tr>
        <w:tblPrEx>
          <w:tblCellMar>
            <w:top w:w="0" w:type="dxa"/>
            <w:left w:w="0" w:type="dxa"/>
            <w:bottom w:w="0" w:type="dxa"/>
            <w:right w:w="0" w:type="dxa"/>
          </w:tblCellMar>
        </w:tblPrEx>
        <w:trPr>
          <w:trHeight w:val="680" w:hRule="atLeast"/>
          <w:jc w:val="center"/>
        </w:trPr>
        <w:tc>
          <w:tcPr>
            <w:tcW w:w="4643" w:type="dxa"/>
            <w:tcBorders>
              <w:top w:val="nil"/>
              <w:left w:val="nil"/>
              <w:bottom w:val="nil"/>
              <w:right w:val="nil"/>
            </w:tcBorders>
            <w:vAlign w:val="center"/>
          </w:tcPr>
          <w:p>
            <w:pPr>
              <w:adjustRightInd w:val="0"/>
            </w:pPr>
            <w:r>
              <w:rPr>
                <w:rFonts w:hint="eastAsia"/>
              </w:rPr>
              <w:t>通讯地址：南京市江宁区龙眠大道180号</w:t>
            </w:r>
          </w:p>
        </w:tc>
        <w:tc>
          <w:tcPr>
            <w:tcW w:w="4643" w:type="dxa"/>
            <w:tcBorders>
              <w:top w:val="nil"/>
              <w:left w:val="nil"/>
              <w:bottom w:val="nil"/>
              <w:right w:val="nil"/>
            </w:tcBorders>
            <w:vAlign w:val="center"/>
          </w:tcPr>
          <w:p>
            <w:pPr>
              <w:adjustRightInd w:val="0"/>
            </w:pPr>
            <w:r>
              <w:rPr>
                <w:rFonts w:hint="eastAsia"/>
              </w:rPr>
              <w:t>通讯地址：</w:t>
            </w:r>
          </w:p>
        </w:tc>
      </w:tr>
      <w:tr>
        <w:tblPrEx>
          <w:tblCellMar>
            <w:top w:w="0" w:type="dxa"/>
            <w:left w:w="0" w:type="dxa"/>
            <w:bottom w:w="0" w:type="dxa"/>
            <w:right w:w="0" w:type="dxa"/>
          </w:tblCellMar>
        </w:tblPrEx>
        <w:trPr>
          <w:trHeight w:val="680" w:hRule="atLeast"/>
          <w:jc w:val="center"/>
        </w:trPr>
        <w:tc>
          <w:tcPr>
            <w:tcW w:w="4643" w:type="dxa"/>
            <w:tcBorders>
              <w:top w:val="nil"/>
              <w:left w:val="nil"/>
              <w:bottom w:val="nil"/>
              <w:right w:val="nil"/>
            </w:tcBorders>
            <w:vAlign w:val="center"/>
          </w:tcPr>
          <w:p>
            <w:pPr>
              <w:adjustRightInd w:val="0"/>
            </w:pPr>
            <w:r>
              <w:rPr>
                <w:rFonts w:hint="eastAsia"/>
              </w:rPr>
              <w:t>开户银行：建设银行南京天元东路支行</w:t>
            </w:r>
          </w:p>
        </w:tc>
        <w:tc>
          <w:tcPr>
            <w:tcW w:w="4643" w:type="dxa"/>
            <w:tcBorders>
              <w:top w:val="nil"/>
              <w:left w:val="nil"/>
              <w:bottom w:val="nil"/>
              <w:right w:val="nil"/>
            </w:tcBorders>
            <w:vAlign w:val="center"/>
          </w:tcPr>
          <w:p>
            <w:pPr>
              <w:spacing w:line="360" w:lineRule="exact"/>
              <w:ind w:right="105" w:rightChars="50"/>
            </w:pPr>
            <w:r>
              <w:rPr>
                <w:rFonts w:hint="eastAsia"/>
              </w:rPr>
              <w:t>开户银行：</w:t>
            </w:r>
          </w:p>
        </w:tc>
      </w:tr>
      <w:tr>
        <w:tblPrEx>
          <w:tblCellMar>
            <w:top w:w="0" w:type="dxa"/>
            <w:left w:w="0" w:type="dxa"/>
            <w:bottom w:w="0" w:type="dxa"/>
            <w:right w:w="0" w:type="dxa"/>
          </w:tblCellMar>
        </w:tblPrEx>
        <w:trPr>
          <w:trHeight w:val="680" w:hRule="atLeast"/>
          <w:jc w:val="center"/>
        </w:trPr>
        <w:tc>
          <w:tcPr>
            <w:tcW w:w="4643" w:type="dxa"/>
            <w:tcBorders>
              <w:top w:val="nil"/>
              <w:left w:val="nil"/>
              <w:bottom w:val="nil"/>
              <w:right w:val="nil"/>
            </w:tcBorders>
            <w:vAlign w:val="center"/>
          </w:tcPr>
          <w:p>
            <w:pPr>
              <w:adjustRightInd w:val="0"/>
            </w:pPr>
            <w:r>
              <w:rPr>
                <w:rFonts w:hint="eastAsia"/>
              </w:rPr>
              <w:t>帐    号：</w:t>
            </w:r>
            <w:r>
              <w:t>32001590700052500255</w:t>
            </w:r>
          </w:p>
        </w:tc>
        <w:tc>
          <w:tcPr>
            <w:tcW w:w="4643" w:type="dxa"/>
            <w:tcBorders>
              <w:top w:val="nil"/>
              <w:left w:val="nil"/>
              <w:bottom w:val="nil"/>
              <w:right w:val="nil"/>
            </w:tcBorders>
            <w:vAlign w:val="center"/>
          </w:tcPr>
          <w:p>
            <w:pPr>
              <w:adjustRightInd w:val="0"/>
            </w:pPr>
            <w:r>
              <w:rPr>
                <w:rFonts w:hint="eastAsia"/>
              </w:rPr>
              <w:t>帐    号：</w:t>
            </w:r>
          </w:p>
        </w:tc>
      </w:tr>
      <w:tr>
        <w:tblPrEx>
          <w:tblCellMar>
            <w:top w:w="0" w:type="dxa"/>
            <w:left w:w="0" w:type="dxa"/>
            <w:bottom w:w="0" w:type="dxa"/>
            <w:right w:w="0" w:type="dxa"/>
          </w:tblCellMar>
        </w:tblPrEx>
        <w:trPr>
          <w:trHeight w:val="680" w:hRule="atLeast"/>
          <w:jc w:val="center"/>
        </w:trPr>
        <w:tc>
          <w:tcPr>
            <w:tcW w:w="4643" w:type="dxa"/>
            <w:tcBorders>
              <w:top w:val="nil"/>
              <w:left w:val="nil"/>
              <w:bottom w:val="nil"/>
              <w:right w:val="nil"/>
            </w:tcBorders>
            <w:vAlign w:val="center"/>
          </w:tcPr>
          <w:p>
            <w:pPr>
              <w:jc w:val="right"/>
            </w:pPr>
            <w:r>
              <w:rPr>
                <w:b/>
              </w:rPr>
              <w:t>日期：</w:t>
            </w:r>
            <w:r>
              <w:rPr>
                <w:rFonts w:hint="eastAsia"/>
              </w:rPr>
              <w:t xml:space="preserve">       年    月    日</w:t>
            </w:r>
          </w:p>
        </w:tc>
        <w:tc>
          <w:tcPr>
            <w:tcW w:w="4643" w:type="dxa"/>
            <w:tcBorders>
              <w:top w:val="nil"/>
              <w:left w:val="nil"/>
              <w:bottom w:val="nil"/>
              <w:right w:val="nil"/>
            </w:tcBorders>
            <w:vAlign w:val="center"/>
          </w:tcPr>
          <w:p>
            <w:pPr>
              <w:jc w:val="right"/>
            </w:pPr>
            <w:r>
              <w:rPr>
                <w:b/>
              </w:rPr>
              <w:t>日期：</w:t>
            </w:r>
            <w:r>
              <w:rPr>
                <w:rFonts w:hint="eastAsia"/>
              </w:rPr>
              <w:t xml:space="preserve">       年    月    日</w:t>
            </w:r>
          </w:p>
        </w:tc>
      </w:tr>
    </w:tbl>
    <w:p>
      <w:pPr>
        <w:widowControl/>
        <w:spacing w:line="360" w:lineRule="auto"/>
        <w:jc w:val="left"/>
        <w:rPr>
          <w:rFonts w:ascii="宋体" w:hAnsi="宋体" w:cs="宋体"/>
          <w:b/>
          <w:bCs/>
          <w:szCs w:val="21"/>
          <w:lang w:val="zh-CN"/>
        </w:rPr>
      </w:pPr>
    </w:p>
    <w:p>
      <w:pPr>
        <w:widowControl/>
        <w:jc w:val="left"/>
        <w:rPr>
          <w:rFonts w:ascii="宋体" w:hAnsi="宋体" w:cs="宋体"/>
          <w:b/>
          <w:bCs/>
          <w:szCs w:val="21"/>
          <w:lang w:val="zh-CN"/>
        </w:rPr>
      </w:pPr>
    </w:p>
    <w:p>
      <w:pPr>
        <w:widowControl/>
        <w:jc w:val="left"/>
        <w:rPr>
          <w:rFonts w:ascii="宋体" w:hAnsi="宋体" w:cs="宋体"/>
          <w:b/>
          <w:bCs/>
          <w:szCs w:val="21"/>
          <w:lang w:val="zh-CN"/>
        </w:rPr>
      </w:pPr>
    </w:p>
    <w:p>
      <w:pPr>
        <w:widowControl/>
        <w:jc w:val="left"/>
        <w:rPr>
          <w:rFonts w:ascii="宋体" w:hAnsi="宋体" w:cs="宋体"/>
          <w:b/>
          <w:bCs/>
          <w:sz w:val="2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widowControl/>
        <w:jc w:val="left"/>
        <w:rPr>
          <w:rFonts w:ascii="宋体" w:hAnsi="宋体" w:cs="宋体"/>
          <w:b/>
          <w:bCs/>
          <w:sz w:val="32"/>
          <w:szCs w:val="44"/>
          <w:lang w:val="zh-CN"/>
        </w:rPr>
      </w:pPr>
    </w:p>
    <w:p>
      <w:pPr>
        <w:pStyle w:val="5"/>
        <w:rPr>
          <w:lang w:val="zh-CN"/>
        </w:rPr>
      </w:pPr>
    </w:p>
    <w:p>
      <w:pPr>
        <w:rPr>
          <w:lang w:val="zh-CN"/>
        </w:rPr>
      </w:pPr>
    </w:p>
    <w:p>
      <w:pPr>
        <w:pStyle w:val="5"/>
        <w:rPr>
          <w:lang w:val="zh-CN"/>
        </w:rPr>
      </w:pPr>
    </w:p>
    <w:p>
      <w:pPr>
        <w:rPr>
          <w:lang w:val="zh-CN"/>
        </w:rPr>
      </w:pPr>
    </w:p>
    <w:p>
      <w:pPr>
        <w:pStyle w:val="5"/>
        <w:rPr>
          <w:lang w:val="zh-CN"/>
        </w:rPr>
      </w:pPr>
    </w:p>
    <w:p>
      <w:pPr>
        <w:rPr>
          <w:lang w:val="zh-CN"/>
        </w:rPr>
      </w:pPr>
    </w:p>
    <w:p>
      <w:pPr>
        <w:widowControl/>
        <w:jc w:val="left"/>
        <w:rPr>
          <w:rFonts w:ascii="宋体" w:hAnsi="宋体" w:cs="宋体"/>
          <w:b/>
          <w:bCs/>
          <w:sz w:val="32"/>
          <w:szCs w:val="44"/>
          <w:lang w:val="zh-CN"/>
        </w:rPr>
      </w:pPr>
    </w:p>
    <w:bookmarkEnd w:id="107"/>
    <w:p>
      <w:pPr>
        <w:pStyle w:val="203"/>
        <w:numPr>
          <w:ilvl w:val="0"/>
          <w:numId w:val="0"/>
        </w:numPr>
        <w:rPr>
          <w:rFonts w:ascii="宋体" w:hAnsi="宋体" w:cs="宋体"/>
        </w:rPr>
      </w:pPr>
      <w:bookmarkStart w:id="110" w:name="_Toc176529672"/>
      <w:r>
        <w:rPr>
          <w:rFonts w:hint="eastAsia" w:ascii="宋体" w:hAnsi="宋体" w:cs="宋体"/>
        </w:rPr>
        <w:t>第六章 投标文件格式</w:t>
      </w:r>
      <w:bookmarkEnd w:id="108"/>
      <w:bookmarkEnd w:id="110"/>
    </w:p>
    <w:p>
      <w:pPr>
        <w:widowControl/>
        <w:spacing w:line="240" w:lineRule="atLeast"/>
        <w:jc w:val="left"/>
        <w:rPr>
          <w:rFonts w:ascii="宋体" w:hAnsi="宋体" w:cs="宋体"/>
          <w:b/>
          <w:bCs/>
          <w:szCs w:val="21"/>
        </w:rPr>
      </w:pPr>
    </w:p>
    <w:p>
      <w:pPr>
        <w:spacing w:line="440" w:lineRule="exact"/>
        <w:rPr>
          <w:rFonts w:ascii="宋体" w:hAnsi="宋体" w:cs="宋体"/>
          <w:sz w:val="20"/>
          <w:szCs w:val="20"/>
        </w:rPr>
      </w:pPr>
    </w:p>
    <w:p>
      <w:pPr>
        <w:spacing w:line="440" w:lineRule="exact"/>
        <w:rPr>
          <w:rFonts w:ascii="宋体" w:hAnsi="宋体" w:cs="宋体"/>
          <w:sz w:val="20"/>
          <w:szCs w:val="20"/>
        </w:rPr>
      </w:pPr>
    </w:p>
    <w:p>
      <w:pPr>
        <w:spacing w:line="440" w:lineRule="exact"/>
        <w:rPr>
          <w:rFonts w:ascii="宋体" w:hAnsi="宋体" w:cs="宋体"/>
          <w:sz w:val="20"/>
          <w:szCs w:val="20"/>
        </w:rPr>
      </w:pPr>
    </w:p>
    <w:p>
      <w:pPr>
        <w:spacing w:line="440" w:lineRule="exact"/>
        <w:rPr>
          <w:rFonts w:ascii="宋体" w:hAnsi="宋体" w:cs="宋体"/>
          <w:sz w:val="32"/>
          <w:szCs w:val="32"/>
        </w:rPr>
      </w:pPr>
    </w:p>
    <w:p>
      <w:pPr>
        <w:jc w:val="center"/>
        <w:rPr>
          <w:rFonts w:ascii="宋体" w:hAnsi="宋体" w:cs="宋体"/>
          <w:sz w:val="32"/>
          <w:szCs w:val="32"/>
        </w:rPr>
      </w:pPr>
    </w:p>
    <w:p>
      <w:pPr>
        <w:rPr>
          <w:rFonts w:ascii="宋体" w:hAnsi="宋体" w:cs="宋体"/>
          <w:sz w:val="32"/>
          <w:szCs w:val="32"/>
        </w:rPr>
      </w:pPr>
    </w:p>
    <w:p>
      <w:pPr>
        <w:jc w:val="center"/>
        <w:rPr>
          <w:rFonts w:ascii="宋体" w:hAnsi="宋体" w:cs="宋体"/>
          <w:sz w:val="52"/>
          <w:szCs w:val="52"/>
        </w:rPr>
      </w:pPr>
      <w:r>
        <w:rPr>
          <w:rFonts w:hint="eastAsia" w:ascii="宋体" w:hAnsi="宋体" w:cs="宋体"/>
          <w:sz w:val="52"/>
          <w:szCs w:val="52"/>
        </w:rPr>
        <w:t>投标文件</w:t>
      </w:r>
    </w:p>
    <w:p>
      <w:pPr>
        <w:rPr>
          <w:rFonts w:ascii="宋体" w:hAnsi="宋体" w:cs="宋体"/>
          <w:sz w:val="32"/>
          <w:szCs w:val="32"/>
        </w:rPr>
      </w:pPr>
    </w:p>
    <w:p>
      <w:pPr>
        <w:rPr>
          <w:rFonts w:ascii="宋体" w:hAnsi="宋体" w:cs="宋体"/>
          <w:sz w:val="32"/>
          <w:szCs w:val="32"/>
        </w:rPr>
      </w:pPr>
    </w:p>
    <w:p>
      <w:pPr>
        <w:rPr>
          <w:rFonts w:ascii="宋体" w:hAnsi="宋体" w:cs="宋体"/>
          <w:sz w:val="32"/>
          <w:szCs w:val="32"/>
        </w:rPr>
      </w:pPr>
    </w:p>
    <w:p>
      <w:pPr>
        <w:rPr>
          <w:rFonts w:ascii="宋体" w:hAnsi="宋体" w:cs="宋体"/>
          <w:sz w:val="32"/>
          <w:szCs w:val="32"/>
        </w:rPr>
      </w:pPr>
    </w:p>
    <w:p>
      <w:pPr>
        <w:rPr>
          <w:rFonts w:ascii="宋体" w:hAnsi="宋体" w:cs="宋体"/>
          <w:sz w:val="32"/>
          <w:szCs w:val="32"/>
        </w:rPr>
      </w:pPr>
    </w:p>
    <w:p>
      <w:pPr>
        <w:ind w:firstLine="1084"/>
        <w:rPr>
          <w:rFonts w:ascii="宋体" w:hAnsi="宋体" w:cs="宋体"/>
          <w:b/>
          <w:sz w:val="36"/>
          <w:szCs w:val="21"/>
        </w:rPr>
      </w:pPr>
      <w:r>
        <w:rPr>
          <w:rFonts w:hint="eastAsia" w:ascii="宋体" w:hAnsi="宋体" w:cs="宋体"/>
          <w:b/>
          <w:sz w:val="36"/>
          <w:szCs w:val="21"/>
        </w:rPr>
        <w:t>项 目 名 称：</w:t>
      </w:r>
      <w:r>
        <w:rPr>
          <w:rFonts w:hint="eastAsia" w:ascii="宋体" w:hAnsi="宋体" w:cs="宋体"/>
          <w:b/>
          <w:sz w:val="36"/>
          <w:szCs w:val="21"/>
          <w:u w:val="single"/>
        </w:rPr>
        <w:t xml:space="preserve">                   </w:t>
      </w:r>
    </w:p>
    <w:p>
      <w:pPr>
        <w:ind w:firstLine="1084"/>
        <w:rPr>
          <w:rFonts w:ascii="宋体" w:hAnsi="宋体" w:cs="宋体"/>
          <w:b/>
          <w:sz w:val="36"/>
          <w:szCs w:val="21"/>
          <w:u w:val="single"/>
        </w:rPr>
      </w:pPr>
      <w:r>
        <w:rPr>
          <w:rFonts w:hint="eastAsia" w:ascii="宋体" w:hAnsi="宋体" w:cs="宋体"/>
          <w:b/>
          <w:sz w:val="36"/>
          <w:szCs w:val="21"/>
        </w:rPr>
        <w:t>项 目 编 号：</w:t>
      </w:r>
      <w:r>
        <w:rPr>
          <w:rFonts w:hint="eastAsia" w:ascii="宋体" w:hAnsi="宋体" w:cs="宋体"/>
          <w:b/>
          <w:sz w:val="36"/>
          <w:szCs w:val="21"/>
          <w:u w:val="single"/>
        </w:rPr>
        <w:t xml:space="preserve">                   </w:t>
      </w:r>
    </w:p>
    <w:p>
      <w:pPr>
        <w:rPr>
          <w:rFonts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（加盖电子公章）   </w:t>
      </w:r>
    </w:p>
    <w:p>
      <w:pPr>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p>
    <w:p>
      <w:pPr>
        <w:jc w:val="center"/>
        <w:rPr>
          <w:rFonts w:ascii="宋体" w:hAnsi="宋体" w:cs="宋体"/>
          <w:b/>
          <w:bCs/>
          <w:sz w:val="32"/>
          <w:szCs w:val="32"/>
        </w:rPr>
      </w:pPr>
      <w:r>
        <w:rPr>
          <w:rFonts w:hint="eastAsia" w:ascii="宋体" w:hAnsi="宋体" w:cs="宋体"/>
          <w:b/>
          <w:bCs/>
          <w:sz w:val="32"/>
          <w:szCs w:val="32"/>
        </w:rPr>
        <w:br w:type="textWrapping"/>
      </w:r>
    </w:p>
    <w:p>
      <w:pPr>
        <w:jc w:val="center"/>
        <w:rPr>
          <w:rFonts w:ascii="宋体" w:hAnsi="宋体" w:cs="宋体"/>
          <w:b/>
          <w:bCs/>
          <w:sz w:val="32"/>
          <w:szCs w:val="32"/>
        </w:rPr>
      </w:pPr>
    </w:p>
    <w:p>
      <w:pPr>
        <w:jc w:val="center"/>
        <w:rPr>
          <w:rFonts w:ascii="宋体" w:hAnsi="宋体" w:cs="宋体"/>
          <w:b/>
          <w:bCs/>
          <w:sz w:val="32"/>
          <w:szCs w:val="32"/>
        </w:rPr>
      </w:pPr>
    </w:p>
    <w:p>
      <w:pPr>
        <w:jc w:val="center"/>
        <w:rPr>
          <w:rFonts w:ascii="宋体" w:hAnsi="宋体" w:cs="宋体"/>
          <w:b/>
          <w:bCs/>
          <w:sz w:val="32"/>
          <w:szCs w:val="32"/>
        </w:rPr>
      </w:pPr>
    </w:p>
    <w:p>
      <w:pPr>
        <w:jc w:val="center"/>
        <w:rPr>
          <w:rFonts w:ascii="宋体" w:hAnsi="宋体" w:cs="宋体"/>
          <w:b/>
          <w:bCs/>
          <w:sz w:val="32"/>
          <w:szCs w:val="32"/>
        </w:rPr>
      </w:pPr>
    </w:p>
    <w:p>
      <w:pPr>
        <w:jc w:val="center"/>
        <w:rPr>
          <w:rFonts w:ascii="宋体" w:hAnsi="宋体" w:cs="宋体"/>
          <w:b/>
          <w:bCs/>
          <w:sz w:val="32"/>
          <w:szCs w:val="32"/>
        </w:rPr>
      </w:pPr>
    </w:p>
    <w:p>
      <w:pPr>
        <w:jc w:val="center"/>
        <w:rPr>
          <w:rFonts w:ascii="宋体" w:hAnsi="宋体" w:cs="宋体"/>
          <w:b/>
          <w:bCs/>
          <w:sz w:val="32"/>
          <w:szCs w:val="32"/>
        </w:rPr>
      </w:pPr>
    </w:p>
    <w:p>
      <w:pPr>
        <w:pStyle w:val="204"/>
        <w:numPr>
          <w:ilvl w:val="1"/>
          <w:numId w:val="0"/>
        </w:numPr>
        <w:rPr>
          <w:rFonts w:ascii="宋体" w:hAnsi="宋体" w:cs="宋体"/>
        </w:rPr>
      </w:pPr>
      <w:bookmarkStart w:id="111" w:name="_Toc66375424"/>
      <w:bookmarkStart w:id="112" w:name="_Toc43917771"/>
      <w:r>
        <w:rPr>
          <w:rFonts w:hint="eastAsia" w:ascii="宋体" w:hAnsi="宋体" w:cs="宋体"/>
        </w:rPr>
        <w:t>附件一、投标函</w:t>
      </w:r>
      <w:bookmarkEnd w:id="111"/>
      <w:bookmarkEnd w:id="112"/>
    </w:p>
    <w:p>
      <w:pPr>
        <w:jc w:val="center"/>
        <w:rPr>
          <w:rFonts w:ascii="宋体" w:hAnsi="宋体" w:cs="宋体"/>
          <w:szCs w:val="21"/>
        </w:rPr>
      </w:pPr>
      <w:r>
        <w:rPr>
          <w:rFonts w:hint="eastAsia" w:ascii="宋体" w:hAnsi="宋体" w:cs="宋体"/>
          <w:b/>
          <w:sz w:val="32"/>
          <w:szCs w:val="32"/>
        </w:rPr>
        <w:t>投标函</w:t>
      </w:r>
    </w:p>
    <w:p>
      <w:pPr>
        <w:widowControl/>
        <w:shd w:val="clear" w:color="auto" w:fill="FFFFFF"/>
        <w:spacing w:line="360" w:lineRule="auto"/>
        <w:rPr>
          <w:rFonts w:ascii="宋体" w:hAnsi="宋体" w:cs="宋体"/>
          <w:szCs w:val="21"/>
        </w:rPr>
      </w:pPr>
      <w:r>
        <w:rPr>
          <w:rFonts w:hint="eastAsia" w:ascii="宋体" w:hAnsi="宋体" w:cs="宋体"/>
          <w:szCs w:val="21"/>
        </w:rPr>
        <w:t>致：江苏经贸职业技术学院</w:t>
      </w:r>
    </w:p>
    <w:p>
      <w:pPr>
        <w:widowControl/>
        <w:shd w:val="clear" w:color="auto" w:fill="FFFFFF"/>
        <w:spacing w:line="360" w:lineRule="auto"/>
        <w:ind w:firstLine="420"/>
        <w:rPr>
          <w:rFonts w:ascii="宋体" w:hAnsi="宋体" w:cs="宋体"/>
          <w:szCs w:val="21"/>
        </w:rPr>
      </w:pPr>
      <w:r>
        <w:rPr>
          <w:rFonts w:hint="eastAsia" w:ascii="宋体" w:hAnsi="宋体" w:cs="宋体"/>
          <w:szCs w:val="21"/>
        </w:rPr>
        <w:t>江苏益诚建设工程咨询有限公司</w:t>
      </w:r>
    </w:p>
    <w:p>
      <w:pPr>
        <w:widowControl/>
        <w:shd w:val="clear" w:color="auto" w:fill="FFFFFF"/>
        <w:spacing w:line="360" w:lineRule="auto"/>
        <w:ind w:firstLine="420"/>
        <w:rPr>
          <w:rFonts w:ascii="宋体" w:hAnsi="宋体" w:cs="宋体"/>
          <w:szCs w:val="21"/>
        </w:rPr>
      </w:pPr>
      <w:r>
        <w:rPr>
          <w:rFonts w:hint="eastAsia" w:ascii="宋体" w:hAnsi="宋体" w:cs="宋体"/>
          <w:szCs w:val="21"/>
        </w:rPr>
        <w:t>根据贵方</w:t>
      </w:r>
      <w:r>
        <w:rPr>
          <w:rFonts w:hint="eastAsia" w:ascii="宋体" w:hAnsi="宋体" w:cs="宋体"/>
          <w:szCs w:val="21"/>
          <w:u w:val="single"/>
        </w:rPr>
        <w:t>           </w:t>
      </w:r>
      <w:r>
        <w:rPr>
          <w:rFonts w:hint="eastAsia" w:ascii="宋体" w:hAnsi="宋体" w:cs="宋体"/>
          <w:bCs/>
          <w:szCs w:val="21"/>
          <w:u w:val="single"/>
        </w:rPr>
        <w:t>（</w:t>
      </w:r>
      <w:r>
        <w:rPr>
          <w:rFonts w:hint="eastAsia" w:ascii="宋体" w:hAnsi="宋体" w:cs="宋体"/>
          <w:szCs w:val="21"/>
        </w:rPr>
        <w:t>项目名称） </w:t>
      </w:r>
      <w:r>
        <w:rPr>
          <w:rFonts w:hint="eastAsia" w:ascii="宋体" w:hAnsi="宋体" w:cs="宋体"/>
          <w:szCs w:val="21"/>
          <w:u w:val="single"/>
        </w:rPr>
        <w:t>       </w:t>
      </w:r>
      <w:r>
        <w:rPr>
          <w:rFonts w:hint="eastAsia" w:ascii="宋体" w:hAnsi="宋体" w:cs="宋体"/>
          <w:szCs w:val="21"/>
        </w:rPr>
        <w:t>（项目编号）投标邀请，正式授权</w:t>
      </w:r>
      <w:r>
        <w:rPr>
          <w:rFonts w:hint="eastAsia" w:ascii="宋体" w:hAnsi="宋体" w:cs="宋体"/>
          <w:szCs w:val="21"/>
          <w:u w:val="single"/>
        </w:rPr>
        <w:t>           </w:t>
      </w:r>
      <w:r>
        <w:rPr>
          <w:rFonts w:hint="eastAsia" w:ascii="宋体" w:hAnsi="宋体" w:cs="宋体"/>
          <w:szCs w:val="21"/>
        </w:rPr>
        <w:t>(姓名和职务)代表投标人</w:t>
      </w:r>
      <w:r>
        <w:rPr>
          <w:rFonts w:hint="eastAsia" w:ascii="宋体" w:hAnsi="宋体" w:cs="宋体"/>
          <w:szCs w:val="21"/>
          <w:u w:val="single"/>
        </w:rPr>
        <w:t>     </w:t>
      </w:r>
      <w:r>
        <w:rPr>
          <w:rFonts w:hint="eastAsia" w:ascii="宋体" w:hAnsi="宋体" w:cs="宋体"/>
          <w:szCs w:val="21"/>
        </w:rPr>
        <w:t>（投标人名称），提交投标文件。</w:t>
      </w:r>
    </w:p>
    <w:p>
      <w:pPr>
        <w:widowControl/>
        <w:shd w:val="clear" w:color="auto" w:fill="FFFFFF"/>
        <w:spacing w:line="360" w:lineRule="auto"/>
        <w:ind w:firstLine="420"/>
        <w:rPr>
          <w:rFonts w:ascii="宋体" w:hAnsi="宋体" w:cs="宋体"/>
          <w:szCs w:val="21"/>
        </w:rPr>
      </w:pPr>
      <w:r>
        <w:rPr>
          <w:rFonts w:hint="eastAsia" w:ascii="宋体" w:hAnsi="宋体" w:cs="宋体"/>
          <w:szCs w:val="21"/>
        </w:rPr>
        <w:t>据此函，我公司兹宣布声明和承诺如下：</w:t>
      </w:r>
    </w:p>
    <w:p>
      <w:pPr>
        <w:widowControl/>
        <w:shd w:val="clear" w:color="auto" w:fill="FFFFFF"/>
        <w:spacing w:line="360" w:lineRule="auto"/>
        <w:ind w:firstLine="420"/>
        <w:rPr>
          <w:rFonts w:ascii="宋体" w:hAnsi="宋体" w:cs="宋体"/>
          <w:szCs w:val="21"/>
        </w:rPr>
      </w:pPr>
      <w:r>
        <w:rPr>
          <w:rFonts w:hint="eastAsia" w:ascii="宋体" w:hAnsi="宋体" w:cs="宋体"/>
          <w:szCs w:val="21"/>
        </w:rPr>
        <w:t>1.我们的资格条件完全符合政府采购法和本次采购要求，我们同意并向贵方提供了与投标有关的所有证据和资料。</w:t>
      </w:r>
    </w:p>
    <w:p>
      <w:pPr>
        <w:widowControl/>
        <w:shd w:val="clear" w:color="auto" w:fill="FFFFFF"/>
        <w:spacing w:line="360" w:lineRule="auto"/>
        <w:ind w:firstLine="420"/>
        <w:rPr>
          <w:rFonts w:ascii="宋体" w:hAnsi="宋体" w:cs="宋体"/>
          <w:szCs w:val="21"/>
        </w:rPr>
      </w:pPr>
      <w:bookmarkStart w:id="113" w:name="_Hlk44577678"/>
      <w:r>
        <w:rPr>
          <w:rFonts w:hint="eastAsia" w:ascii="宋体" w:hAnsi="宋体" w:cs="宋体"/>
          <w:szCs w:val="21"/>
        </w:rPr>
        <w:t>2.本项目交付时间为：</w:t>
      </w:r>
      <w:r>
        <w:rPr>
          <w:rFonts w:hint="eastAsia" w:ascii="宋体" w:hAnsi="宋体" w:cs="宋体"/>
          <w:szCs w:val="21"/>
          <w:u w:val="single"/>
        </w:rPr>
        <w:t>满足采购文件要求</w:t>
      </w:r>
      <w:r>
        <w:rPr>
          <w:rFonts w:hint="eastAsia" w:ascii="宋体" w:hAnsi="宋体" w:cs="宋体"/>
          <w:szCs w:val="21"/>
        </w:rPr>
        <w:t>。</w:t>
      </w:r>
      <w:bookmarkEnd w:id="113"/>
    </w:p>
    <w:p>
      <w:pPr>
        <w:widowControl/>
        <w:shd w:val="clear" w:color="auto" w:fill="FFFFFF"/>
        <w:spacing w:line="360" w:lineRule="auto"/>
        <w:ind w:firstLine="420"/>
        <w:rPr>
          <w:rFonts w:ascii="宋体" w:hAnsi="宋体" w:cs="宋体"/>
          <w:szCs w:val="21"/>
        </w:rPr>
      </w:pPr>
      <w:r>
        <w:rPr>
          <w:rFonts w:hint="eastAsia" w:ascii="宋体" w:hAnsi="宋体" w:cs="宋体"/>
          <w:szCs w:val="21"/>
        </w:rPr>
        <w:t>3.我们已详细阅读全部采购文件及其有效补充文件，我们放弃对采购文件任何误解的权利，提交投标文件后，不对采购文件本身提出质疑。</w:t>
      </w:r>
    </w:p>
    <w:p>
      <w:pPr>
        <w:widowControl/>
        <w:shd w:val="clear" w:color="auto" w:fill="FFFFFF"/>
        <w:spacing w:line="360" w:lineRule="auto"/>
        <w:ind w:firstLine="420"/>
        <w:rPr>
          <w:rFonts w:ascii="宋体" w:hAnsi="宋体" w:cs="宋体"/>
          <w:szCs w:val="21"/>
        </w:rPr>
      </w:pPr>
      <w:r>
        <w:rPr>
          <w:rFonts w:hint="eastAsia" w:ascii="宋体" w:hAnsi="宋体" w:cs="宋体"/>
          <w:szCs w:val="21"/>
        </w:rPr>
        <w:t>4.我们同意从规定的开标日期起遵循本投标文件，并在规定的投标有效期期满之前均具有约束力。</w:t>
      </w:r>
    </w:p>
    <w:p>
      <w:pPr>
        <w:widowControl/>
        <w:shd w:val="clear" w:color="auto" w:fill="FFFFFF"/>
        <w:spacing w:line="360" w:lineRule="auto"/>
        <w:ind w:firstLine="420"/>
        <w:rPr>
          <w:rFonts w:ascii="宋体" w:hAnsi="宋体" w:cs="宋体"/>
          <w:szCs w:val="21"/>
        </w:rPr>
      </w:pPr>
      <w:r>
        <w:rPr>
          <w:rFonts w:hint="eastAsia" w:ascii="宋体" w:hAnsi="宋体" w:cs="宋体"/>
          <w:szCs w:val="21"/>
        </w:rPr>
        <w:t>5.一旦我方中标，我方将根据采购文件的规定严格履行合同，并保证于承诺的时间完成相关服务，交付采购人验收、使用。</w:t>
      </w:r>
    </w:p>
    <w:p>
      <w:pPr>
        <w:widowControl/>
        <w:shd w:val="clear" w:color="auto" w:fill="FFFFFF"/>
        <w:spacing w:line="360" w:lineRule="auto"/>
        <w:ind w:firstLine="420"/>
        <w:rPr>
          <w:rFonts w:ascii="宋体" w:hAnsi="宋体" w:cs="宋体"/>
          <w:szCs w:val="21"/>
        </w:rPr>
      </w:pPr>
      <w:r>
        <w:rPr>
          <w:rFonts w:hint="eastAsia" w:ascii="宋体" w:hAnsi="宋体" w:cs="宋体"/>
          <w:szCs w:val="21"/>
        </w:rPr>
        <w:t>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pPr>
        <w:widowControl/>
        <w:shd w:val="clear" w:color="auto" w:fill="FFFFFF"/>
        <w:spacing w:line="360" w:lineRule="auto"/>
        <w:ind w:firstLine="420"/>
        <w:rPr>
          <w:rFonts w:ascii="宋体" w:hAnsi="宋体" w:cs="宋体"/>
          <w:szCs w:val="21"/>
        </w:rPr>
      </w:pPr>
      <w:r>
        <w:rPr>
          <w:rFonts w:hint="eastAsia" w:ascii="宋体" w:hAnsi="宋体" w:cs="宋体"/>
          <w:szCs w:val="21"/>
        </w:rPr>
        <w:t>7.与本投标有关的正式联系方式为：</w:t>
      </w:r>
    </w:p>
    <w:p>
      <w:pPr>
        <w:widowControl/>
        <w:shd w:val="clear" w:color="auto" w:fill="FFFFFF"/>
        <w:spacing w:line="360" w:lineRule="auto"/>
        <w:ind w:firstLine="420"/>
        <w:rPr>
          <w:rFonts w:ascii="宋体" w:hAnsi="宋体" w:cs="宋体"/>
          <w:szCs w:val="21"/>
        </w:rPr>
      </w:pPr>
      <w:r>
        <w:rPr>
          <w:rFonts w:hint="eastAsia" w:ascii="宋体" w:hAnsi="宋体" w:cs="宋体"/>
          <w:szCs w:val="21"/>
        </w:rPr>
        <w:t>地   址：</w:t>
      </w:r>
      <w:r>
        <w:rPr>
          <w:rFonts w:hint="eastAsia" w:ascii="宋体" w:hAnsi="宋体" w:cs="宋体"/>
          <w:szCs w:val="21"/>
          <w:u w:val="single"/>
        </w:rPr>
        <w:t>                       </w:t>
      </w:r>
    </w:p>
    <w:p>
      <w:pPr>
        <w:widowControl/>
        <w:shd w:val="clear" w:color="auto" w:fill="FFFFFF"/>
        <w:spacing w:line="360" w:lineRule="auto"/>
        <w:ind w:firstLine="420"/>
        <w:rPr>
          <w:rFonts w:ascii="宋体" w:hAnsi="宋体" w:cs="宋体"/>
          <w:szCs w:val="21"/>
        </w:rPr>
      </w:pPr>
      <w:r>
        <w:rPr>
          <w:rFonts w:hint="eastAsia" w:ascii="宋体" w:hAnsi="宋体" w:cs="宋体"/>
          <w:szCs w:val="21"/>
        </w:rPr>
        <w:t>电   话：</w:t>
      </w:r>
      <w:r>
        <w:rPr>
          <w:rFonts w:hint="eastAsia" w:ascii="宋体" w:hAnsi="宋体" w:cs="宋体"/>
          <w:szCs w:val="21"/>
          <w:u w:val="single"/>
        </w:rPr>
        <w:t>                       </w:t>
      </w:r>
    </w:p>
    <w:p>
      <w:pPr>
        <w:widowControl/>
        <w:shd w:val="clear" w:color="auto" w:fill="FFFFFF"/>
        <w:spacing w:line="360" w:lineRule="auto"/>
        <w:ind w:firstLine="420"/>
        <w:rPr>
          <w:rFonts w:ascii="宋体" w:hAnsi="宋体" w:cs="宋体"/>
          <w:szCs w:val="21"/>
        </w:rPr>
      </w:pPr>
      <w:r>
        <w:rPr>
          <w:rFonts w:hint="eastAsia" w:ascii="宋体" w:hAnsi="宋体" w:cs="宋体"/>
          <w:szCs w:val="21"/>
        </w:rPr>
        <w:t>传   真：</w:t>
      </w:r>
      <w:r>
        <w:rPr>
          <w:rFonts w:hint="eastAsia" w:ascii="宋体" w:hAnsi="宋体" w:cs="宋体"/>
          <w:szCs w:val="21"/>
          <w:u w:val="single"/>
        </w:rPr>
        <w:t>                       </w:t>
      </w:r>
    </w:p>
    <w:p>
      <w:pPr>
        <w:widowControl/>
        <w:shd w:val="clear" w:color="auto" w:fill="FFFFFF"/>
        <w:spacing w:line="360" w:lineRule="auto"/>
        <w:ind w:firstLine="420"/>
        <w:rPr>
          <w:rFonts w:ascii="宋体" w:hAnsi="宋体" w:cs="宋体"/>
          <w:szCs w:val="21"/>
          <w:u w:val="single"/>
        </w:rPr>
      </w:pPr>
      <w:r>
        <w:rPr>
          <w:rFonts w:hint="eastAsia" w:ascii="宋体" w:hAnsi="宋体" w:cs="宋体"/>
          <w:szCs w:val="21"/>
        </w:rPr>
        <w:t>开户银行：</w:t>
      </w:r>
      <w:r>
        <w:rPr>
          <w:rFonts w:hint="eastAsia" w:ascii="宋体" w:hAnsi="宋体" w:cs="宋体"/>
          <w:szCs w:val="21"/>
          <w:u w:val="single"/>
        </w:rPr>
        <w:t xml:space="preserve">                                               </w:t>
      </w:r>
    </w:p>
    <w:p>
      <w:pPr>
        <w:widowControl/>
        <w:shd w:val="clear" w:color="auto" w:fill="FFFFFF"/>
        <w:spacing w:line="360" w:lineRule="auto"/>
        <w:ind w:firstLine="420"/>
        <w:rPr>
          <w:rFonts w:ascii="宋体" w:hAnsi="宋体" w:cs="宋体"/>
          <w:szCs w:val="21"/>
          <w:u w:val="single"/>
        </w:rPr>
      </w:pPr>
      <w:r>
        <w:rPr>
          <w:rFonts w:hint="eastAsia" w:ascii="宋体" w:hAnsi="宋体" w:cs="宋体"/>
          <w:szCs w:val="21"/>
        </w:rPr>
        <w:t>银行账号：</w:t>
      </w:r>
      <w:r>
        <w:rPr>
          <w:rFonts w:hint="eastAsia" w:ascii="宋体" w:hAnsi="宋体" w:cs="宋体"/>
          <w:szCs w:val="21"/>
          <w:u w:val="single"/>
        </w:rPr>
        <w:t xml:space="preserve">                                               </w:t>
      </w:r>
    </w:p>
    <w:p>
      <w:pPr>
        <w:spacing w:line="360" w:lineRule="auto"/>
        <w:ind w:firstLine="420"/>
        <w:jc w:val="left"/>
        <w:rPr>
          <w:rFonts w:ascii="宋体" w:hAnsi="宋体" w:cs="宋体"/>
          <w:bCs/>
          <w:szCs w:val="21"/>
        </w:rPr>
      </w:pPr>
      <w:r>
        <w:rPr>
          <w:rFonts w:hint="eastAsia" w:ascii="宋体" w:hAnsi="宋体" w:cs="宋体"/>
          <w:szCs w:val="21"/>
        </w:rPr>
        <w:t>8.</w:t>
      </w:r>
      <w:r>
        <w:rPr>
          <w:rFonts w:hint="eastAsia" w:ascii="宋体" w:hAnsi="宋体" w:cs="宋体"/>
          <w:bCs/>
          <w:szCs w:val="21"/>
        </w:rPr>
        <w:t>我方具有独立承担民事责任的能力（法人或其他组织提供营业执照，自然人提供身份证明）。</w:t>
      </w:r>
    </w:p>
    <w:p>
      <w:pPr>
        <w:spacing w:line="360" w:lineRule="auto"/>
        <w:ind w:firstLine="422"/>
        <w:jc w:val="center"/>
        <w:rPr>
          <w:rFonts w:ascii="宋体" w:hAnsi="宋体" w:cs="宋体"/>
          <w:b/>
          <w:szCs w:val="21"/>
        </w:rPr>
      </w:pPr>
      <w:r>
        <w:rPr>
          <w:rFonts w:hint="eastAsia" w:ascii="宋体" w:hAnsi="宋体" w:cs="宋体"/>
          <w:b/>
          <w:szCs w:val="21"/>
        </w:rPr>
        <w:t>营业执照扫描件：</w:t>
      </w:r>
    </w:p>
    <w:p>
      <w:pPr>
        <w:spacing w:line="360" w:lineRule="auto"/>
        <w:ind w:firstLine="420"/>
        <w:jc w:val="center"/>
        <w:rPr>
          <w:rFonts w:ascii="宋体" w:hAnsi="宋体" w:cs="宋体"/>
          <w:szCs w:val="21"/>
        </w:rPr>
      </w:pPr>
    </w:p>
    <w:p>
      <w:pPr>
        <w:spacing w:line="360" w:lineRule="auto"/>
        <w:ind w:firstLine="420"/>
        <w:jc w:val="center"/>
        <w:rPr>
          <w:rFonts w:ascii="宋体" w:hAnsi="宋体" w:cs="宋体"/>
          <w:szCs w:val="21"/>
        </w:rPr>
      </w:pPr>
    </w:p>
    <w:p>
      <w:pPr>
        <w:spacing w:line="360" w:lineRule="auto"/>
        <w:ind w:firstLine="420"/>
        <w:jc w:val="center"/>
        <w:rPr>
          <w:rFonts w:ascii="宋体" w:hAnsi="宋体" w:cs="宋体"/>
          <w:szCs w:val="21"/>
        </w:rPr>
      </w:pPr>
    </w:p>
    <w:p>
      <w:pPr>
        <w:spacing w:line="360" w:lineRule="auto"/>
        <w:ind w:firstLine="420"/>
        <w:jc w:val="center"/>
        <w:rPr>
          <w:rFonts w:ascii="宋体" w:hAnsi="宋体" w:cs="宋体"/>
          <w:szCs w:val="21"/>
        </w:rPr>
      </w:pPr>
    </w:p>
    <w:p>
      <w:pPr>
        <w:spacing w:line="360" w:lineRule="auto"/>
        <w:ind w:firstLine="420"/>
        <w:jc w:val="center"/>
        <w:rPr>
          <w:rFonts w:ascii="宋体" w:hAnsi="宋体" w:cs="宋体"/>
          <w:szCs w:val="21"/>
        </w:rPr>
      </w:pPr>
    </w:p>
    <w:p>
      <w:pPr>
        <w:spacing w:line="360" w:lineRule="auto"/>
        <w:ind w:firstLine="420"/>
        <w:jc w:val="center"/>
        <w:rPr>
          <w:rFonts w:ascii="宋体" w:hAnsi="宋体" w:cs="宋体"/>
          <w:szCs w:val="21"/>
        </w:rPr>
      </w:pPr>
    </w:p>
    <w:p>
      <w:pPr>
        <w:spacing w:line="360" w:lineRule="auto"/>
        <w:ind w:firstLine="420"/>
        <w:jc w:val="center"/>
        <w:rPr>
          <w:rFonts w:ascii="宋体" w:hAnsi="宋体" w:cs="宋体"/>
          <w:szCs w:val="21"/>
        </w:rPr>
      </w:pPr>
    </w:p>
    <w:p>
      <w:pPr>
        <w:spacing w:line="360" w:lineRule="auto"/>
        <w:ind w:firstLine="420"/>
        <w:jc w:val="center"/>
        <w:rPr>
          <w:rFonts w:ascii="宋体" w:hAnsi="宋体" w:cs="宋体"/>
          <w:szCs w:val="21"/>
        </w:rPr>
      </w:pPr>
    </w:p>
    <w:p>
      <w:pPr>
        <w:widowControl/>
        <w:shd w:val="clear" w:color="auto" w:fill="FFFFFF"/>
        <w:spacing w:line="360" w:lineRule="auto"/>
        <w:ind w:firstLine="420"/>
        <w:rPr>
          <w:rFonts w:ascii="宋体" w:hAnsi="宋体" w:cs="宋体"/>
          <w:szCs w:val="21"/>
          <w:u w:val="single"/>
        </w:rPr>
      </w:pPr>
    </w:p>
    <w:p>
      <w:pPr>
        <w:widowControl/>
        <w:shd w:val="clear" w:color="auto" w:fill="FFFFFF"/>
        <w:spacing w:line="360" w:lineRule="auto"/>
        <w:ind w:firstLine="420"/>
        <w:rPr>
          <w:rFonts w:ascii="宋体" w:hAnsi="宋体" w:cs="宋体"/>
          <w:szCs w:val="21"/>
        </w:rPr>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w:t>
      </w:r>
      <w:bookmarkStart w:id="114" w:name="_Hlk176254267"/>
      <w:r>
        <w:rPr>
          <w:rFonts w:hint="eastAsia" w:ascii="宋体" w:hAnsi="宋体" w:cs="宋体"/>
          <w:szCs w:val="21"/>
        </w:rPr>
        <w:t>加盖电子公章</w:t>
      </w:r>
      <w:bookmarkEnd w:id="114"/>
      <w:r>
        <w:rPr>
          <w:rFonts w:hint="eastAsia" w:ascii="宋体" w:hAnsi="宋体" w:cs="宋体"/>
          <w:szCs w:val="21"/>
        </w:rPr>
        <w:t>）</w:t>
      </w:r>
    </w:p>
    <w:p>
      <w:pPr>
        <w:widowControl/>
        <w:shd w:val="clear" w:color="auto" w:fill="FFFFFF"/>
        <w:spacing w:line="360" w:lineRule="auto"/>
        <w:ind w:firstLine="420"/>
        <w:rPr>
          <w:rFonts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pPr>
        <w:widowControl/>
        <w:shd w:val="clear" w:color="auto" w:fill="FFFFFF"/>
        <w:spacing w:line="360" w:lineRule="auto"/>
        <w:ind w:firstLine="420"/>
        <w:rPr>
          <w:rFonts w:ascii="宋体" w:hAnsi="宋体" w:cs="宋体"/>
          <w:szCs w:val="21"/>
        </w:rPr>
      </w:pPr>
    </w:p>
    <w:p>
      <w:pPr>
        <w:widowControl/>
        <w:shd w:val="clear" w:color="auto" w:fill="FFFFFF"/>
        <w:spacing w:line="360" w:lineRule="auto"/>
        <w:rPr>
          <w:rFonts w:ascii="宋体" w:hAnsi="宋体" w:cs="宋体"/>
          <w:szCs w:val="21"/>
        </w:rPr>
      </w:pPr>
      <w:r>
        <w:rPr>
          <w:rFonts w:hint="eastAsia" w:ascii="宋体" w:hAnsi="宋体" w:cs="宋体"/>
          <w:szCs w:val="21"/>
        </w:rPr>
        <w:br w:type="page" w:clear="all"/>
      </w:r>
    </w:p>
    <w:p>
      <w:pPr>
        <w:pStyle w:val="204"/>
        <w:rPr>
          <w:rFonts w:ascii="宋体" w:hAnsi="宋体" w:cs="宋体"/>
        </w:rPr>
      </w:pPr>
      <w:bookmarkStart w:id="115" w:name="_Toc43917772"/>
      <w:bookmarkStart w:id="116" w:name="_Toc66375425"/>
      <w:r>
        <w:rPr>
          <w:rFonts w:hint="eastAsia" w:ascii="宋体" w:hAnsi="宋体" w:cs="宋体"/>
        </w:rPr>
        <w:t>附件二、法定代表人授权委托书</w:t>
      </w:r>
      <w:bookmarkEnd w:id="115"/>
      <w:bookmarkEnd w:id="116"/>
    </w:p>
    <w:p>
      <w:pPr>
        <w:widowControl/>
        <w:shd w:val="clear" w:color="auto" w:fill="FFFFFF"/>
        <w:spacing w:line="360" w:lineRule="auto"/>
        <w:ind w:firstLine="720"/>
        <w:jc w:val="center"/>
        <w:rPr>
          <w:rFonts w:ascii="宋体" w:hAnsi="宋体" w:cs="宋体"/>
          <w:sz w:val="36"/>
          <w:szCs w:val="36"/>
        </w:rPr>
      </w:pPr>
    </w:p>
    <w:p>
      <w:pPr>
        <w:widowControl/>
        <w:shd w:val="clear" w:color="auto" w:fill="FFFFFF"/>
        <w:spacing w:line="360" w:lineRule="auto"/>
        <w:ind w:firstLine="720"/>
        <w:jc w:val="center"/>
        <w:rPr>
          <w:rFonts w:ascii="宋体" w:hAnsi="宋体" w:cs="宋体"/>
          <w:b/>
          <w:sz w:val="32"/>
          <w:szCs w:val="32"/>
        </w:rPr>
      </w:pPr>
      <w:r>
        <w:rPr>
          <w:rFonts w:hint="eastAsia" w:ascii="宋体" w:hAnsi="宋体" w:cs="宋体"/>
          <w:b/>
          <w:sz w:val="32"/>
          <w:szCs w:val="32"/>
        </w:rPr>
        <w:t>法定代表人授权委托书</w:t>
      </w: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r>
        <w:rPr>
          <w:rFonts w:hint="eastAsia" w:ascii="宋体" w:hAnsi="宋体" w:cs="宋体"/>
          <w:szCs w:val="21"/>
        </w:rPr>
        <w:t>致：江苏经贸职业技术学院</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江苏益诚建设工程咨询有限公司</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本授权书声明：注册于</w:t>
      </w:r>
      <w:r>
        <w:rPr>
          <w:rFonts w:hint="eastAsia" w:ascii="宋体" w:hAnsi="宋体" w:cs="宋体"/>
          <w:szCs w:val="21"/>
          <w:u w:val="single"/>
        </w:rPr>
        <w:t>              </w:t>
      </w:r>
      <w:r>
        <w:rPr>
          <w:rFonts w:hint="eastAsia" w:ascii="宋体" w:hAnsi="宋体" w:cs="宋体"/>
          <w:szCs w:val="21"/>
        </w:rPr>
        <w:t>（投标人住址）的</w:t>
      </w:r>
      <w:r>
        <w:rPr>
          <w:rFonts w:hint="eastAsia" w:ascii="宋体" w:hAnsi="宋体" w:cs="宋体"/>
          <w:szCs w:val="21"/>
          <w:u w:val="single"/>
        </w:rPr>
        <w:t>        </w:t>
      </w:r>
      <w:r>
        <w:rPr>
          <w:rFonts w:hint="eastAsia" w:ascii="宋体" w:hAnsi="宋体" w:cs="宋体"/>
          <w:szCs w:val="21"/>
        </w:rPr>
        <w:t>（投标人名称）法定代表人</w:t>
      </w:r>
      <w:r>
        <w:rPr>
          <w:rFonts w:hint="eastAsia" w:ascii="宋体" w:hAnsi="宋体" w:cs="宋体"/>
          <w:szCs w:val="21"/>
          <w:u w:val="single"/>
        </w:rPr>
        <w:t>        </w:t>
      </w:r>
      <w:r>
        <w:rPr>
          <w:rFonts w:hint="eastAsia" w:ascii="宋体" w:hAnsi="宋体" w:cs="宋体"/>
          <w:szCs w:val="21"/>
        </w:rPr>
        <w:t>（法定代表人姓名、职务）代表本公司授权</w:t>
      </w:r>
      <w:r>
        <w:rPr>
          <w:rFonts w:hint="eastAsia" w:ascii="宋体" w:hAnsi="宋体" w:cs="宋体"/>
          <w:szCs w:val="21"/>
          <w:u w:val="single"/>
        </w:rPr>
        <w:t>       </w:t>
      </w:r>
      <w:r>
        <w:rPr>
          <w:rFonts w:hint="eastAsia" w:ascii="宋体" w:hAnsi="宋体" w:cs="宋体"/>
          <w:szCs w:val="21"/>
        </w:rPr>
        <w:t>（投标人代表姓名、职务）为本公司的合法代理人，就贵方组织的</w:t>
      </w:r>
      <w:r>
        <w:rPr>
          <w:rFonts w:hint="eastAsia" w:ascii="宋体" w:hAnsi="宋体" w:cs="宋体"/>
          <w:b/>
          <w:bCs/>
          <w:szCs w:val="21"/>
          <w:u w:val="single"/>
        </w:rPr>
        <w:t>          </w:t>
      </w:r>
      <w:r>
        <w:rPr>
          <w:rFonts w:hint="eastAsia" w:ascii="宋体" w:hAnsi="宋体" w:cs="宋体"/>
          <w:szCs w:val="21"/>
        </w:rPr>
        <w:t>（项目名称），</w:t>
      </w:r>
      <w:r>
        <w:rPr>
          <w:rFonts w:hint="eastAsia" w:ascii="宋体" w:hAnsi="宋体" w:cs="宋体"/>
          <w:szCs w:val="21"/>
          <w:u w:val="single"/>
        </w:rPr>
        <w:t>        </w:t>
      </w:r>
      <w:r>
        <w:rPr>
          <w:rFonts w:hint="eastAsia" w:ascii="宋体" w:hAnsi="宋体" w:cs="宋体"/>
          <w:szCs w:val="21"/>
        </w:rPr>
        <w:t>（项目编号）投标，以本公司名义处理一切与之有关的事务。</w:t>
      </w:r>
    </w:p>
    <w:p>
      <w:pPr>
        <w:widowControl/>
        <w:shd w:val="clear" w:color="auto" w:fill="FFFFFF"/>
        <w:spacing w:line="360" w:lineRule="auto"/>
        <w:jc w:val="left"/>
        <w:rPr>
          <w:rFonts w:ascii="宋体" w:hAnsi="宋体" w:cs="宋体"/>
          <w:szCs w:val="21"/>
        </w:rPr>
      </w:pPr>
      <w:r>
        <w:rPr>
          <w:rFonts w:hint="eastAsia" w:ascii="宋体" w:hAnsi="宋体" w:cs="宋体"/>
          <w:szCs w:val="21"/>
        </w:rPr>
        <w:t>    本授权书于    年  月  </w:t>
      </w:r>
      <w:bookmarkStart w:id="117" w:name="_Hlk176528397"/>
      <w:r>
        <w:rPr>
          <w:rFonts w:hint="eastAsia" w:ascii="宋体" w:hAnsi="宋体" w:cs="宋体"/>
          <w:szCs w:val="21"/>
        </w:rPr>
        <w:t>日加盖电子公章</w:t>
      </w:r>
      <w:bookmarkEnd w:id="117"/>
      <w:r>
        <w:rPr>
          <w:rFonts w:hint="eastAsia" w:ascii="宋体" w:hAnsi="宋体" w:cs="宋体"/>
          <w:szCs w:val="21"/>
        </w:rPr>
        <w:t>生效，特此声明。</w:t>
      </w: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ind w:firstLine="825"/>
        <w:jc w:val="left"/>
        <w:rPr>
          <w:rFonts w:ascii="宋体" w:hAnsi="宋体" w:cs="宋体"/>
          <w:szCs w:val="21"/>
        </w:rPr>
      </w:pPr>
      <w:bookmarkStart w:id="118" w:name="_Hlk176254280"/>
      <w:r>
        <w:rPr>
          <w:rFonts w:hint="eastAsia" w:ascii="宋体" w:hAnsi="宋体" w:cs="宋体"/>
          <w:szCs w:val="21"/>
        </w:rPr>
        <w:t>投标人（</w:t>
      </w:r>
      <w:bookmarkStart w:id="119" w:name="OLE_LINK3"/>
      <w:r>
        <w:rPr>
          <w:rFonts w:hint="eastAsia" w:ascii="宋体" w:hAnsi="宋体" w:cs="宋体"/>
          <w:szCs w:val="21"/>
        </w:rPr>
        <w:t>加盖电子公章</w:t>
      </w:r>
      <w:bookmarkEnd w:id="119"/>
      <w:r>
        <w:rPr>
          <w:rFonts w:hint="eastAsia" w:ascii="宋体" w:hAnsi="宋体" w:cs="宋体"/>
          <w:szCs w:val="21"/>
        </w:rPr>
        <w:t>）： </w:t>
      </w:r>
      <w:bookmarkEnd w:id="118"/>
      <w:r>
        <w:rPr>
          <w:rFonts w:hint="eastAsia" w:ascii="宋体" w:hAnsi="宋体" w:cs="宋体"/>
          <w:szCs w:val="21"/>
        </w:rPr>
        <w:t>                 </w:t>
      </w:r>
    </w:p>
    <w:p>
      <w:pPr>
        <w:widowControl/>
        <w:shd w:val="clear" w:color="auto" w:fill="FFFFFF"/>
        <w:spacing w:line="360" w:lineRule="auto"/>
        <w:ind w:firstLine="840"/>
        <w:jc w:val="left"/>
        <w:rPr>
          <w:rFonts w:ascii="宋体" w:hAnsi="宋体" w:cs="宋体"/>
          <w:szCs w:val="21"/>
        </w:rPr>
      </w:pPr>
      <w:r>
        <w:rPr>
          <w:rFonts w:hint="eastAsia" w:ascii="宋体" w:hAnsi="宋体" w:cs="宋体"/>
          <w:szCs w:val="21"/>
        </w:rPr>
        <w:t>日     期：        年    月    日</w:t>
      </w: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bookmarkStart w:id="120" w:name="_Hlk45291991"/>
      <w:r>
        <w:rPr>
          <w:rFonts w:hint="eastAsia" w:ascii="宋体" w:hAnsi="宋体" w:cs="宋体"/>
          <w:szCs w:val="21"/>
        </w:rPr>
        <w:t>法定代表人身份证的复印件:</w:t>
      </w:r>
      <w:bookmarkEnd w:id="120"/>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r>
        <w:rPr>
          <w:rFonts w:hint="eastAsia" w:ascii="宋体" w:hAnsi="宋体" w:cs="宋体"/>
          <w:szCs w:val="21"/>
        </w:rPr>
        <w:t>委托代理人身份证的复印件:</w:t>
      </w: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widowControl/>
        <w:shd w:val="clear" w:color="auto" w:fill="FFFFFF"/>
        <w:spacing w:line="360" w:lineRule="auto"/>
        <w:ind w:firstLine="840"/>
        <w:jc w:val="left"/>
        <w:rPr>
          <w:rFonts w:ascii="宋体" w:hAnsi="宋体" w:cs="宋体"/>
          <w:szCs w:val="21"/>
        </w:rPr>
      </w:pPr>
    </w:p>
    <w:p>
      <w:pPr>
        <w:pStyle w:val="204"/>
        <w:rPr>
          <w:rFonts w:ascii="宋体" w:hAnsi="宋体" w:cs="宋体"/>
        </w:rPr>
      </w:pPr>
      <w:bookmarkStart w:id="121" w:name="_Toc43917782"/>
      <w:bookmarkStart w:id="122" w:name="_Toc66375435"/>
      <w:r>
        <w:rPr>
          <w:rFonts w:hint="eastAsia" w:ascii="宋体" w:hAnsi="宋体" w:cs="宋体"/>
        </w:rPr>
        <w:t>附件三、资格证明文件</w:t>
      </w:r>
      <w:bookmarkEnd w:id="121"/>
      <w:bookmarkEnd w:id="122"/>
    </w:p>
    <w:p>
      <w:pPr>
        <w:spacing w:line="360" w:lineRule="auto"/>
        <w:ind w:firstLine="420"/>
        <w:rPr>
          <w:rFonts w:ascii="宋体" w:hAnsi="宋体" w:cs="宋体"/>
          <w:bCs/>
          <w:szCs w:val="21"/>
        </w:rPr>
      </w:pPr>
      <w:bookmarkStart w:id="123" w:name="_Hlk168584506"/>
      <w:r>
        <w:rPr>
          <w:rFonts w:hint="eastAsia" w:ascii="宋体" w:hAnsi="宋体" w:cs="宋体"/>
          <w:bCs/>
          <w:szCs w:val="21"/>
        </w:rPr>
        <w:t>1.第一章招标公告中二、申请人的资格要求（二）落实政府采购政策需满足的资格要求相关材料（如有）；</w:t>
      </w:r>
    </w:p>
    <w:p>
      <w:pPr>
        <w:spacing w:line="360" w:lineRule="auto"/>
        <w:ind w:firstLine="420"/>
        <w:rPr>
          <w:rFonts w:ascii="宋体" w:hAnsi="宋体" w:cs="宋体"/>
          <w:bCs/>
          <w:szCs w:val="21"/>
        </w:rPr>
      </w:pPr>
      <w:r>
        <w:rPr>
          <w:rFonts w:hint="eastAsia" w:ascii="宋体" w:hAnsi="宋体" w:cs="宋体"/>
          <w:bCs/>
          <w:szCs w:val="21"/>
        </w:rPr>
        <w:t>2.第一章招标公告中二、申请人的资格要求（三）本项目特定资格要求证明文件（如有）；</w:t>
      </w:r>
    </w:p>
    <w:p>
      <w:pPr>
        <w:spacing w:line="360" w:lineRule="auto"/>
        <w:ind w:firstLine="420"/>
        <w:rPr>
          <w:rFonts w:ascii="宋体" w:hAnsi="宋体" w:cs="宋体"/>
          <w:bCs/>
          <w:szCs w:val="21"/>
        </w:rPr>
      </w:pPr>
      <w:bookmarkStart w:id="124" w:name="_Hlk81574079"/>
      <w:r>
        <w:rPr>
          <w:rFonts w:hint="eastAsia" w:ascii="宋体" w:hAnsi="宋体" w:cs="宋体"/>
          <w:bCs/>
          <w:szCs w:val="21"/>
        </w:rPr>
        <w:t>3. 第一章招标公告中二、申请人的资格要求（一）《中华人民共和国政府采购法》2--5条规定的资格证明文件；</w:t>
      </w:r>
    </w:p>
    <w:p>
      <w:pPr>
        <w:spacing w:line="360" w:lineRule="auto"/>
        <w:ind w:firstLine="420"/>
        <w:rPr>
          <w:rFonts w:ascii="宋体" w:hAnsi="宋体" w:cs="宋体"/>
          <w:bCs/>
          <w:szCs w:val="21"/>
        </w:rPr>
      </w:pPr>
      <w:r>
        <w:rPr>
          <w:rFonts w:hint="eastAsia" w:ascii="宋体" w:hAnsi="宋体" w:cs="宋体"/>
          <w:bCs/>
          <w:szCs w:val="21"/>
        </w:rPr>
        <w:t>4.投标人未被“信用中国”网站（www.creditchina.gov.cn）、“中国政府采购网”(www.ccgp.gov.cn)列入失信被执行人、重大税收违法案件当事人名单、政府采购严重违法失信行为记录名单证明文件。</w:t>
      </w:r>
    </w:p>
    <w:bookmarkEnd w:id="124"/>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 </w:t>
      </w:r>
      <w:bookmarkEnd w:id="123"/>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 </w:t>
      </w:r>
    </w:p>
    <w:p>
      <w:pPr>
        <w:widowControl/>
        <w:shd w:val="clear" w:color="auto" w:fill="FFFFFF"/>
        <w:spacing w:line="360" w:lineRule="auto"/>
        <w:jc w:val="left"/>
        <w:rPr>
          <w:rFonts w:ascii="宋体" w:hAnsi="宋体" w:cs="宋体"/>
          <w:szCs w:val="21"/>
        </w:rPr>
      </w:pPr>
      <w:r>
        <w:rPr>
          <w:rFonts w:hint="eastAsia" w:ascii="宋体" w:hAnsi="宋体" w:cs="宋体"/>
          <w:szCs w:val="21"/>
        </w:rPr>
        <w:br w:type="page" w:clear="all"/>
      </w:r>
    </w:p>
    <w:p>
      <w:pPr>
        <w:pStyle w:val="204"/>
        <w:rPr>
          <w:rFonts w:ascii="宋体" w:hAnsi="宋体" w:cs="宋体"/>
          <w:lang w:val="zh-CN"/>
        </w:rPr>
      </w:pPr>
      <w:bookmarkStart w:id="125" w:name="_Toc66375426"/>
      <w:bookmarkStart w:id="126" w:name="_Toc43917773"/>
      <w:bookmarkStart w:id="127" w:name="_Toc26810"/>
      <w:bookmarkStart w:id="128" w:name="OLE_LINK38"/>
      <w:r>
        <w:rPr>
          <w:rFonts w:hint="eastAsia" w:ascii="宋体" w:hAnsi="宋体" w:cs="宋体"/>
          <w:lang w:val="zh-CN"/>
        </w:rPr>
        <w:t>附件四、</w:t>
      </w:r>
      <w:bookmarkEnd w:id="125"/>
      <w:bookmarkEnd w:id="126"/>
      <w:bookmarkEnd w:id="127"/>
      <w:r>
        <w:rPr>
          <w:rFonts w:hint="eastAsia" w:ascii="宋体" w:hAnsi="宋体" w:cs="宋体"/>
          <w:lang w:val="zh-CN"/>
        </w:rPr>
        <w:t>开标一览表</w:t>
      </w:r>
      <w:bookmarkEnd w:id="128"/>
    </w:p>
    <w:p>
      <w:pPr>
        <w:jc w:val="center"/>
        <w:rPr>
          <w:rFonts w:ascii="宋体" w:hAnsi="宋体" w:cs="宋体"/>
          <w:b/>
          <w:sz w:val="32"/>
          <w:szCs w:val="32"/>
        </w:rPr>
      </w:pPr>
      <w:r>
        <w:rPr>
          <w:rFonts w:hint="eastAsia" w:ascii="宋体" w:hAnsi="宋体" w:cs="宋体"/>
          <w:b/>
          <w:sz w:val="32"/>
          <w:szCs w:val="32"/>
        </w:rPr>
        <w:t>开标一览表</w:t>
      </w:r>
    </w:p>
    <w:p>
      <w:pPr>
        <w:pStyle w:val="8"/>
        <w:spacing w:line="360" w:lineRule="auto"/>
        <w:ind w:firstLine="210"/>
        <w:rPr>
          <w:rFonts w:ascii="宋体" w:hAnsi="宋体" w:cs="宋体"/>
          <w:b w:val="0"/>
          <w:bCs/>
          <w:sz w:val="21"/>
          <w:szCs w:val="21"/>
        </w:rPr>
      </w:pPr>
      <w:r>
        <w:rPr>
          <w:rFonts w:hint="eastAsia" w:ascii="宋体" w:hAnsi="宋体" w:cs="宋体"/>
          <w:b w:val="0"/>
          <w:bCs/>
          <w:sz w:val="21"/>
          <w:szCs w:val="21"/>
        </w:rPr>
        <w:t>项目编号：                                        货币单位：人民币元</w:t>
      </w:r>
    </w:p>
    <w:tbl>
      <w:tblPr>
        <w:tblStyle w:val="44"/>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5"/>
        <w:gridCol w:w="2735"/>
        <w:gridCol w:w="42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350" w:hRule="atLeast"/>
        </w:trPr>
        <w:tc>
          <w:tcPr>
            <w:tcW w:w="2735" w:type="dxa"/>
            <w:vAlign w:val="center"/>
          </w:tcPr>
          <w:p>
            <w:pPr>
              <w:spacing w:line="360" w:lineRule="auto"/>
              <w:jc w:val="center"/>
              <w:rPr>
                <w:rFonts w:ascii="宋体" w:hAnsi="宋体" w:cs="宋体"/>
                <w:bCs/>
                <w:szCs w:val="21"/>
              </w:rPr>
            </w:pPr>
            <w:r>
              <w:rPr>
                <w:rFonts w:hint="eastAsia" w:ascii="宋体" w:hAnsi="宋体" w:cs="宋体"/>
                <w:bCs/>
                <w:szCs w:val="21"/>
              </w:rPr>
              <w:t>项目名称</w:t>
            </w:r>
          </w:p>
        </w:tc>
        <w:tc>
          <w:tcPr>
            <w:tcW w:w="2735" w:type="dxa"/>
            <w:vAlign w:val="center"/>
          </w:tcPr>
          <w:p>
            <w:pPr>
              <w:spacing w:line="360" w:lineRule="auto"/>
              <w:jc w:val="center"/>
              <w:rPr>
                <w:rFonts w:ascii="宋体" w:hAnsi="宋体" w:cs="宋体"/>
                <w:bCs/>
                <w:szCs w:val="21"/>
              </w:rPr>
            </w:pPr>
            <w:r>
              <w:rPr>
                <w:rFonts w:hint="eastAsia" w:ascii="宋体" w:hAnsi="宋体" w:cs="宋体"/>
                <w:bCs/>
                <w:szCs w:val="21"/>
              </w:rPr>
              <w:t>项目内容</w:t>
            </w:r>
          </w:p>
        </w:tc>
        <w:tc>
          <w:tcPr>
            <w:tcW w:w="4282" w:type="dxa"/>
            <w:vAlign w:val="center"/>
          </w:tcPr>
          <w:p>
            <w:pPr>
              <w:spacing w:line="360" w:lineRule="auto"/>
              <w:jc w:val="center"/>
              <w:rPr>
                <w:rFonts w:ascii="宋体" w:hAnsi="宋体" w:cs="宋体"/>
                <w:bCs/>
                <w:szCs w:val="21"/>
              </w:rPr>
            </w:pPr>
            <w:r>
              <w:rPr>
                <w:rFonts w:hint="eastAsia" w:ascii="宋体" w:hAnsi="宋体" w:cs="宋体"/>
                <w:bCs/>
                <w:szCs w:val="21"/>
              </w:rPr>
              <w:t>总价（小写）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vAlign w:val="center"/>
          </w:tcPr>
          <w:p>
            <w:pPr>
              <w:spacing w:line="360" w:lineRule="auto"/>
              <w:rPr>
                <w:rFonts w:ascii="宋体" w:hAnsi="宋体" w:cs="宋体"/>
                <w:bCs/>
                <w:szCs w:val="21"/>
              </w:rPr>
            </w:pPr>
          </w:p>
        </w:tc>
        <w:tc>
          <w:tcPr>
            <w:tcW w:w="2735" w:type="dxa"/>
            <w:vAlign w:val="center"/>
          </w:tcPr>
          <w:p>
            <w:pPr>
              <w:spacing w:line="360" w:lineRule="auto"/>
              <w:jc w:val="center"/>
              <w:rPr>
                <w:rFonts w:ascii="宋体" w:hAnsi="宋体" w:cs="宋体"/>
                <w:bCs/>
                <w:szCs w:val="21"/>
              </w:rPr>
            </w:pPr>
            <w:r>
              <w:rPr>
                <w:rFonts w:hint="eastAsia" w:ascii="宋体" w:hAnsi="宋体" w:cs="宋体"/>
                <w:bCs/>
                <w:szCs w:val="21"/>
              </w:rPr>
              <w:t>详见投标文件</w:t>
            </w:r>
          </w:p>
        </w:tc>
        <w:tc>
          <w:tcPr>
            <w:tcW w:w="4282" w:type="dxa"/>
            <w:vAlign w:val="center"/>
          </w:tcPr>
          <w:p>
            <w:pPr>
              <w:spacing w:line="360" w:lineRule="auto"/>
              <w:rPr>
                <w:rFonts w:ascii="宋体" w:hAnsi="宋体" w:cs="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vAlign w:val="center"/>
          </w:tcPr>
          <w:p>
            <w:pPr>
              <w:spacing w:line="360" w:lineRule="auto"/>
              <w:rPr>
                <w:rFonts w:ascii="宋体" w:hAnsi="宋体" w:cs="宋体"/>
                <w:bCs/>
                <w:szCs w:val="21"/>
              </w:rPr>
            </w:pPr>
            <w:r>
              <w:rPr>
                <w:rFonts w:hint="eastAsia" w:ascii="宋体" w:hAnsi="宋体" w:cs="宋体"/>
                <w:bCs/>
                <w:szCs w:val="21"/>
              </w:rPr>
              <w:t>总价（大写）：</w:t>
            </w:r>
          </w:p>
        </w:tc>
        <w:tc>
          <w:tcPr>
            <w:tcW w:w="7017" w:type="dxa"/>
            <w:gridSpan w:val="2"/>
            <w:vAlign w:val="center"/>
          </w:tcPr>
          <w:p>
            <w:pPr>
              <w:spacing w:line="360" w:lineRule="auto"/>
              <w:rPr>
                <w:rFonts w:ascii="宋体" w:hAnsi="宋体" w:cs="宋体"/>
                <w:bCs/>
                <w:szCs w:val="21"/>
              </w:rPr>
            </w:pPr>
          </w:p>
        </w:tc>
      </w:tr>
    </w:tbl>
    <w:p>
      <w:pPr>
        <w:jc w:val="center"/>
        <w:rPr>
          <w:rFonts w:ascii="宋体" w:hAnsi="宋体" w:cs="宋体"/>
          <w:b/>
          <w:sz w:val="32"/>
          <w:szCs w:val="32"/>
        </w:rPr>
      </w:pPr>
    </w:p>
    <w:p>
      <w:pPr>
        <w:jc w:val="center"/>
        <w:rPr>
          <w:rFonts w:ascii="宋体" w:hAnsi="宋体" w:cs="宋体"/>
          <w:b/>
          <w:szCs w:val="21"/>
        </w:rPr>
      </w:pPr>
    </w:p>
    <w:p>
      <w:pPr>
        <w:widowControl/>
        <w:shd w:val="clear" w:color="auto" w:fill="FFFFFF"/>
        <w:spacing w:line="360" w:lineRule="auto"/>
        <w:jc w:val="left"/>
        <w:rPr>
          <w:rFonts w:ascii="宋体" w:hAnsi="宋体" w:cs="宋体"/>
          <w:szCs w:val="21"/>
        </w:rPr>
      </w:pPr>
      <w:bookmarkStart w:id="129" w:name="_Hlk44577819"/>
      <w:r>
        <w:rPr>
          <w:rFonts w:hint="eastAsia" w:ascii="宋体" w:hAnsi="宋体" w:cs="宋体"/>
          <w:szCs w:val="21"/>
        </w:rPr>
        <w:t>说明:</w:t>
      </w:r>
    </w:p>
    <w:p>
      <w:pPr>
        <w:widowControl/>
        <w:shd w:val="clear" w:color="auto" w:fill="FFFFFF"/>
        <w:spacing w:line="360" w:lineRule="auto"/>
        <w:jc w:val="left"/>
        <w:rPr>
          <w:rFonts w:ascii="宋体" w:hAnsi="宋体" w:cs="宋体"/>
          <w:szCs w:val="21"/>
        </w:rPr>
      </w:pPr>
      <w:r>
        <w:rPr>
          <w:rFonts w:hint="eastAsia" w:ascii="宋体" w:hAnsi="宋体" w:cs="宋体"/>
          <w:szCs w:val="21"/>
        </w:rPr>
        <w:t>1、报价包括完成项目的所有费用，采购人不再支付报价以外的任何费用。</w:t>
      </w:r>
    </w:p>
    <w:p>
      <w:pPr>
        <w:widowControl/>
        <w:shd w:val="clear" w:color="auto" w:fill="FFFFFF"/>
        <w:spacing w:line="360" w:lineRule="auto"/>
        <w:jc w:val="left"/>
        <w:rPr>
          <w:rFonts w:ascii="宋体" w:hAnsi="宋体" w:cs="宋体"/>
          <w:szCs w:val="21"/>
        </w:rPr>
      </w:pPr>
      <w:r>
        <w:rPr>
          <w:rFonts w:hint="eastAsia" w:ascii="宋体" w:hAnsi="宋体" w:cs="宋体"/>
          <w:szCs w:val="21"/>
        </w:rPr>
        <w:t>2、报价以总价为准，大小写不一致以大写为准。</w:t>
      </w:r>
    </w:p>
    <w:p>
      <w:pPr>
        <w:widowControl/>
        <w:shd w:val="clear" w:color="auto" w:fill="FFFFFF"/>
        <w:spacing w:line="360" w:lineRule="auto"/>
        <w:jc w:val="left"/>
        <w:rPr>
          <w:rFonts w:ascii="宋体" w:hAnsi="宋体" w:cs="宋体"/>
          <w:szCs w:val="21"/>
        </w:rPr>
      </w:pPr>
    </w:p>
    <w:bookmarkEnd w:id="129"/>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u w:val="single"/>
        </w:rPr>
      </w:pPr>
      <w:bookmarkStart w:id="130" w:name="_Hlk175836563"/>
      <w:r>
        <w:rPr>
          <w:rFonts w:hint="eastAsia" w:ascii="宋体" w:hAnsi="宋体" w:cs="宋体"/>
          <w:szCs w:val="21"/>
        </w:rPr>
        <w:t>投标人（</w:t>
      </w:r>
      <w:bookmarkStart w:id="131" w:name="_Hlk176254322"/>
      <w:r>
        <w:rPr>
          <w:rFonts w:hint="eastAsia" w:ascii="宋体" w:hAnsi="宋体" w:cs="宋体"/>
          <w:szCs w:val="21"/>
        </w:rPr>
        <w:t>加盖电子公章</w:t>
      </w:r>
      <w:bookmarkEnd w:id="131"/>
      <w:r>
        <w:rPr>
          <w:rFonts w:hint="eastAsia" w:ascii="宋体" w:hAnsi="宋体" w:cs="宋体"/>
          <w:szCs w:val="21"/>
        </w:rPr>
        <w:t>）：</w:t>
      </w:r>
      <w:r>
        <w:rPr>
          <w:rFonts w:hint="eastAsia" w:ascii="宋体" w:hAnsi="宋体" w:cs="宋体"/>
          <w:szCs w:val="21"/>
          <w:u w:val="single"/>
        </w:rPr>
        <w:t>                                             </w:t>
      </w:r>
    </w:p>
    <w:p>
      <w:pPr>
        <w:widowControl/>
        <w:shd w:val="clear" w:color="auto" w:fill="FFFFFF"/>
        <w:spacing w:line="360" w:lineRule="auto"/>
        <w:jc w:val="left"/>
        <w:rPr>
          <w:rFonts w:ascii="宋体" w:hAnsi="宋体" w:cs="宋体"/>
          <w:szCs w:val="21"/>
        </w:rPr>
      </w:pPr>
      <w:r>
        <w:rPr>
          <w:rFonts w:hint="eastAsia" w:ascii="宋体" w:hAnsi="宋体" w:cs="宋体"/>
          <w:szCs w:val="21"/>
        </w:rPr>
        <w:t>日    期：   年    月    日</w:t>
      </w: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p>
      <w:pPr>
        <w:widowControl/>
        <w:shd w:val="clear" w:color="auto" w:fill="FFFFFF"/>
        <w:spacing w:line="360" w:lineRule="auto"/>
        <w:jc w:val="left"/>
        <w:rPr>
          <w:rFonts w:ascii="宋体" w:hAnsi="宋体" w:cs="宋体"/>
          <w:szCs w:val="21"/>
          <w:u w:val="single"/>
        </w:rPr>
      </w:pPr>
    </w:p>
    <w:bookmarkEnd w:id="130"/>
    <w:p>
      <w:pPr>
        <w:widowControl/>
        <w:shd w:val="clear" w:color="auto" w:fill="FFFFFF"/>
        <w:tabs>
          <w:tab w:val="left" w:pos="3108"/>
        </w:tabs>
        <w:spacing w:line="360" w:lineRule="auto"/>
        <w:jc w:val="left"/>
        <w:rPr>
          <w:rFonts w:ascii="宋体" w:hAnsi="宋体" w:cs="宋体"/>
          <w:szCs w:val="21"/>
          <w:u w:val="single"/>
        </w:rPr>
      </w:pPr>
      <w:r>
        <w:rPr>
          <w:rFonts w:ascii="宋体" w:hAnsi="宋体" w:cs="宋体"/>
          <w:szCs w:val="21"/>
          <w:u w:val="single"/>
        </w:rPr>
        <w:tab/>
      </w:r>
    </w:p>
    <w:p>
      <w:pPr>
        <w:widowControl/>
        <w:shd w:val="clear" w:color="auto" w:fill="FFFFFF"/>
        <w:tabs>
          <w:tab w:val="left" w:pos="3108"/>
        </w:tabs>
        <w:spacing w:line="360" w:lineRule="auto"/>
        <w:jc w:val="left"/>
        <w:rPr>
          <w:rFonts w:ascii="宋体" w:hAnsi="宋体" w:cs="宋体"/>
          <w:szCs w:val="21"/>
          <w:u w:val="single"/>
        </w:rPr>
      </w:pPr>
    </w:p>
    <w:p>
      <w:pPr>
        <w:widowControl/>
        <w:shd w:val="clear" w:color="auto" w:fill="FFFFFF"/>
        <w:tabs>
          <w:tab w:val="left" w:pos="3108"/>
        </w:tabs>
        <w:spacing w:line="360" w:lineRule="auto"/>
        <w:jc w:val="left"/>
        <w:rPr>
          <w:rFonts w:ascii="宋体" w:hAnsi="宋体" w:cs="宋体"/>
          <w:szCs w:val="21"/>
          <w:u w:val="single"/>
        </w:rPr>
      </w:pPr>
    </w:p>
    <w:p>
      <w:pPr>
        <w:widowControl/>
        <w:shd w:val="clear" w:color="auto" w:fill="FFFFFF"/>
        <w:tabs>
          <w:tab w:val="left" w:pos="3108"/>
        </w:tabs>
        <w:spacing w:line="360" w:lineRule="auto"/>
        <w:jc w:val="left"/>
        <w:rPr>
          <w:rFonts w:ascii="宋体" w:hAnsi="宋体" w:cs="宋体"/>
          <w:szCs w:val="21"/>
          <w:u w:val="single"/>
        </w:rPr>
      </w:pPr>
    </w:p>
    <w:p>
      <w:pPr>
        <w:widowControl/>
        <w:shd w:val="clear" w:color="auto" w:fill="FFFFFF"/>
        <w:tabs>
          <w:tab w:val="left" w:pos="3108"/>
        </w:tabs>
        <w:spacing w:line="360" w:lineRule="auto"/>
        <w:jc w:val="left"/>
        <w:rPr>
          <w:rFonts w:ascii="宋体" w:hAnsi="宋体" w:cs="宋体"/>
          <w:szCs w:val="21"/>
          <w:u w:val="single"/>
        </w:rPr>
      </w:pPr>
    </w:p>
    <w:p>
      <w:pPr>
        <w:pStyle w:val="204"/>
        <w:rPr>
          <w:rFonts w:ascii="宋体" w:hAnsi="宋体" w:cs="宋体"/>
          <w:lang w:val="zh-CN"/>
        </w:rPr>
      </w:pPr>
      <w:bookmarkStart w:id="132" w:name="_Toc43917774"/>
      <w:bookmarkStart w:id="133" w:name="_Toc66375427"/>
      <w:bookmarkStart w:id="134" w:name="_Toc12264"/>
      <w:r>
        <w:rPr>
          <w:rFonts w:hint="eastAsia" w:ascii="宋体" w:hAnsi="宋体" w:cs="宋体"/>
          <w:lang w:val="zh-CN"/>
        </w:rPr>
        <w:t>附件五、分项报价表</w:t>
      </w:r>
      <w:bookmarkEnd w:id="132"/>
      <w:bookmarkEnd w:id="133"/>
      <w:bookmarkEnd w:id="134"/>
    </w:p>
    <w:p>
      <w:pPr>
        <w:widowControl/>
        <w:shd w:val="clear" w:color="auto" w:fill="FFFFFF"/>
        <w:spacing w:line="360" w:lineRule="auto"/>
        <w:jc w:val="center"/>
        <w:rPr>
          <w:rFonts w:ascii="宋体" w:hAnsi="宋体" w:cs="宋体"/>
          <w:b/>
          <w:sz w:val="32"/>
          <w:szCs w:val="32"/>
        </w:rPr>
      </w:pPr>
      <w:bookmarkStart w:id="135" w:name="OLE_LINK39"/>
      <w:r>
        <w:rPr>
          <w:rFonts w:hint="eastAsia" w:ascii="宋体" w:hAnsi="宋体" w:cs="宋体"/>
          <w:b/>
          <w:sz w:val="32"/>
          <w:szCs w:val="32"/>
        </w:rPr>
        <w:t>分项报价表</w:t>
      </w:r>
      <w:bookmarkEnd w:id="135"/>
    </w:p>
    <w:p>
      <w:pPr>
        <w:widowControl/>
        <w:tabs>
          <w:tab w:val="left" w:pos="5397"/>
        </w:tabs>
        <w:spacing w:line="360" w:lineRule="auto"/>
        <w:ind w:firstLine="504"/>
        <w:jc w:val="left"/>
        <w:rPr>
          <w:rFonts w:ascii="宋体" w:hAnsi="宋体" w:cs="宋体"/>
          <w:szCs w:val="21"/>
        </w:rPr>
      </w:pPr>
      <w:r>
        <w:rPr>
          <w:rFonts w:hint="eastAsia" w:ascii="宋体" w:hAnsi="宋体" w:cs="宋体"/>
          <w:szCs w:val="21"/>
        </w:rPr>
        <w:t>项目名称：</w:t>
      </w:r>
      <w:r>
        <w:rPr>
          <w:rFonts w:hint="eastAsia" w:ascii="宋体" w:hAnsi="宋体" w:cs="宋体"/>
          <w:szCs w:val="21"/>
        </w:rPr>
        <w:tab/>
      </w:r>
      <w:r>
        <w:rPr>
          <w:rFonts w:hint="eastAsia" w:ascii="宋体" w:hAnsi="宋体" w:cs="宋体"/>
          <w:szCs w:val="21"/>
        </w:rPr>
        <w:t>项目编号：</w:t>
      </w:r>
    </w:p>
    <w:tbl>
      <w:tblPr>
        <w:tblStyle w:val="44"/>
        <w:tblW w:w="7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3719"/>
        <w:gridCol w:w="1903"/>
        <w:gridCol w:w="1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1073" w:type="dxa"/>
            <w:vAlign w:val="center"/>
          </w:tcPr>
          <w:p>
            <w:pPr>
              <w:widowControl/>
              <w:jc w:val="center"/>
              <w:rPr>
                <w:rFonts w:ascii="宋体" w:hAnsi="宋体" w:cs="宋体"/>
                <w:szCs w:val="21"/>
              </w:rPr>
            </w:pPr>
            <w:r>
              <w:rPr>
                <w:rFonts w:hint="eastAsia" w:ascii="宋体" w:hAnsi="宋体" w:cs="宋体"/>
                <w:szCs w:val="21"/>
              </w:rPr>
              <w:t>序号</w:t>
            </w:r>
          </w:p>
        </w:tc>
        <w:tc>
          <w:tcPr>
            <w:tcW w:w="3719" w:type="dxa"/>
            <w:vAlign w:val="center"/>
          </w:tcPr>
          <w:p>
            <w:pPr>
              <w:widowControl/>
              <w:jc w:val="center"/>
              <w:rPr>
                <w:rFonts w:ascii="宋体" w:hAnsi="宋体" w:cs="宋体"/>
                <w:szCs w:val="21"/>
              </w:rPr>
            </w:pPr>
            <w:r>
              <w:rPr>
                <w:rFonts w:hint="eastAsia" w:ascii="宋体" w:hAnsi="宋体" w:cs="宋体"/>
                <w:szCs w:val="21"/>
              </w:rPr>
              <w:t>项目</w:t>
            </w:r>
          </w:p>
        </w:tc>
        <w:tc>
          <w:tcPr>
            <w:tcW w:w="1903" w:type="dxa"/>
            <w:vAlign w:val="center"/>
          </w:tcPr>
          <w:p>
            <w:pPr>
              <w:widowControl/>
              <w:jc w:val="center"/>
              <w:rPr>
                <w:rFonts w:ascii="宋体" w:hAnsi="宋体" w:cs="宋体"/>
                <w:szCs w:val="21"/>
              </w:rPr>
            </w:pPr>
            <w:r>
              <w:rPr>
                <w:rFonts w:hint="eastAsia" w:ascii="宋体" w:hAnsi="宋体" w:cs="宋体"/>
                <w:szCs w:val="21"/>
              </w:rPr>
              <w:t>单价（元）</w:t>
            </w:r>
          </w:p>
        </w:tc>
        <w:tc>
          <w:tcPr>
            <w:tcW w:w="1284" w:type="dxa"/>
            <w:vAlign w:val="center"/>
          </w:tcPr>
          <w:p>
            <w:pPr>
              <w:widowControl/>
              <w:jc w:val="center"/>
              <w:rPr>
                <w:rFonts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073" w:type="dxa"/>
            <w:vAlign w:val="center"/>
          </w:tcPr>
          <w:p>
            <w:pPr>
              <w:widowControl/>
              <w:jc w:val="center"/>
              <w:rPr>
                <w:rFonts w:ascii="宋体" w:hAnsi="宋体" w:cs="宋体"/>
                <w:szCs w:val="21"/>
              </w:rPr>
            </w:pPr>
            <w:r>
              <w:rPr>
                <w:rFonts w:hint="eastAsia" w:ascii="宋体" w:hAnsi="宋体" w:cs="宋体"/>
                <w:szCs w:val="21"/>
              </w:rPr>
              <w:t>1</w:t>
            </w:r>
          </w:p>
        </w:tc>
        <w:tc>
          <w:tcPr>
            <w:tcW w:w="3719" w:type="dxa"/>
            <w:vAlign w:val="center"/>
          </w:tcPr>
          <w:p>
            <w:pPr>
              <w:widowControl/>
              <w:jc w:val="center"/>
              <w:rPr>
                <w:rFonts w:ascii="宋体" w:hAnsi="宋体" w:cs="宋体"/>
                <w:szCs w:val="21"/>
              </w:rPr>
            </w:pPr>
          </w:p>
        </w:tc>
        <w:tc>
          <w:tcPr>
            <w:tcW w:w="1903" w:type="dxa"/>
            <w:vAlign w:val="center"/>
          </w:tcPr>
          <w:p>
            <w:pPr>
              <w:widowControl/>
              <w:jc w:val="center"/>
              <w:rPr>
                <w:rFonts w:ascii="宋体" w:hAnsi="宋体" w:cs="宋体"/>
                <w:szCs w:val="21"/>
              </w:rPr>
            </w:pPr>
          </w:p>
        </w:tc>
        <w:tc>
          <w:tcPr>
            <w:tcW w:w="1284" w:type="dxa"/>
            <w:vAlign w:val="center"/>
          </w:tcPr>
          <w:p>
            <w:pPr>
              <w:widowControl/>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073" w:type="dxa"/>
            <w:vAlign w:val="center"/>
          </w:tcPr>
          <w:p>
            <w:pPr>
              <w:widowControl/>
              <w:jc w:val="center"/>
              <w:rPr>
                <w:rFonts w:ascii="宋体" w:hAnsi="宋体" w:cs="宋体"/>
                <w:szCs w:val="21"/>
              </w:rPr>
            </w:pPr>
            <w:r>
              <w:rPr>
                <w:rFonts w:hint="eastAsia" w:ascii="宋体" w:hAnsi="宋体" w:cs="宋体"/>
                <w:szCs w:val="21"/>
              </w:rPr>
              <w:t>2</w:t>
            </w:r>
          </w:p>
        </w:tc>
        <w:tc>
          <w:tcPr>
            <w:tcW w:w="3719" w:type="dxa"/>
            <w:vAlign w:val="center"/>
          </w:tcPr>
          <w:p>
            <w:pPr>
              <w:widowControl/>
              <w:jc w:val="center"/>
              <w:rPr>
                <w:rFonts w:ascii="宋体" w:hAnsi="宋体" w:cs="宋体"/>
                <w:szCs w:val="21"/>
              </w:rPr>
            </w:pPr>
          </w:p>
        </w:tc>
        <w:tc>
          <w:tcPr>
            <w:tcW w:w="1903" w:type="dxa"/>
            <w:vAlign w:val="center"/>
          </w:tcPr>
          <w:p>
            <w:pPr>
              <w:widowControl/>
              <w:jc w:val="center"/>
              <w:rPr>
                <w:rFonts w:ascii="宋体" w:hAnsi="宋体" w:cs="宋体"/>
                <w:szCs w:val="21"/>
              </w:rPr>
            </w:pPr>
          </w:p>
        </w:tc>
        <w:tc>
          <w:tcPr>
            <w:tcW w:w="1284" w:type="dxa"/>
            <w:vAlign w:val="center"/>
          </w:tcPr>
          <w:p>
            <w:pPr>
              <w:widowControl/>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73" w:type="dxa"/>
            <w:vAlign w:val="center"/>
          </w:tcPr>
          <w:p>
            <w:pPr>
              <w:widowControl/>
              <w:jc w:val="center"/>
              <w:rPr>
                <w:rFonts w:ascii="宋体" w:hAnsi="宋体" w:cs="宋体"/>
                <w:szCs w:val="21"/>
              </w:rPr>
            </w:pPr>
            <w:r>
              <w:rPr>
                <w:rFonts w:hint="eastAsia" w:ascii="宋体" w:hAnsi="宋体" w:cs="宋体"/>
                <w:szCs w:val="21"/>
              </w:rPr>
              <w:t>3</w:t>
            </w:r>
          </w:p>
        </w:tc>
        <w:tc>
          <w:tcPr>
            <w:tcW w:w="3719" w:type="dxa"/>
            <w:vAlign w:val="center"/>
          </w:tcPr>
          <w:p>
            <w:pPr>
              <w:widowControl/>
              <w:jc w:val="center"/>
              <w:rPr>
                <w:rFonts w:ascii="宋体" w:hAnsi="宋体" w:cs="宋体"/>
                <w:szCs w:val="21"/>
              </w:rPr>
            </w:pPr>
          </w:p>
        </w:tc>
        <w:tc>
          <w:tcPr>
            <w:tcW w:w="1903" w:type="dxa"/>
            <w:vAlign w:val="center"/>
          </w:tcPr>
          <w:p>
            <w:pPr>
              <w:widowControl/>
              <w:jc w:val="center"/>
              <w:rPr>
                <w:rFonts w:ascii="宋体" w:hAnsi="宋体" w:cs="宋体"/>
                <w:szCs w:val="21"/>
              </w:rPr>
            </w:pPr>
          </w:p>
        </w:tc>
        <w:tc>
          <w:tcPr>
            <w:tcW w:w="1284" w:type="dxa"/>
            <w:vAlign w:val="center"/>
          </w:tcPr>
          <w:p>
            <w:pPr>
              <w:widowControl/>
              <w:jc w:val="center"/>
              <w:rPr>
                <w:rFonts w:ascii="宋体" w:hAnsi="宋体" w:cs="宋体"/>
                <w:szCs w:val="21"/>
              </w:rPr>
            </w:pPr>
          </w:p>
        </w:tc>
      </w:tr>
    </w:tbl>
    <w:p>
      <w:pPr>
        <w:widowControl/>
        <w:shd w:val="clear" w:color="auto" w:fill="FFFFFF"/>
        <w:spacing w:line="360" w:lineRule="auto"/>
        <w:jc w:val="left"/>
        <w:rPr>
          <w:rFonts w:ascii="宋体" w:hAnsi="宋体" w:cs="宋体"/>
          <w:szCs w:val="21"/>
        </w:rPr>
      </w:pPr>
    </w:p>
    <w:p>
      <w:pPr>
        <w:widowControl/>
        <w:shd w:val="clear" w:color="auto" w:fill="FFFFFF"/>
        <w:spacing w:line="360" w:lineRule="auto"/>
        <w:ind w:left="210"/>
        <w:jc w:val="left"/>
        <w:rPr>
          <w:rFonts w:ascii="宋体" w:hAnsi="宋体" w:cs="宋体"/>
        </w:rPr>
      </w:pPr>
      <w:r>
        <w:rPr>
          <w:rFonts w:hint="eastAsia" w:ascii="宋体" w:hAnsi="宋体" w:cs="宋体"/>
          <w:szCs w:val="21"/>
        </w:rPr>
        <w:t>说明：</w:t>
      </w:r>
    </w:p>
    <w:p>
      <w:pPr>
        <w:widowControl/>
        <w:shd w:val="clear" w:color="auto" w:fill="FFFFFF"/>
        <w:spacing w:line="360" w:lineRule="auto"/>
        <w:ind w:firstLine="210"/>
        <w:jc w:val="left"/>
        <w:rPr>
          <w:rFonts w:ascii="宋体" w:hAnsi="宋体" w:cs="宋体"/>
          <w:szCs w:val="21"/>
        </w:rPr>
      </w:pPr>
      <w:r>
        <w:rPr>
          <w:rFonts w:hint="eastAsia" w:ascii="宋体" w:hAnsi="宋体" w:cs="宋体"/>
        </w:rPr>
        <w:t>1.</w:t>
      </w:r>
      <w:r>
        <w:rPr>
          <w:rFonts w:hint="eastAsia" w:ascii="宋体" w:hAnsi="宋体" w:cs="宋体"/>
          <w:lang w:val="zh-CN"/>
        </w:rPr>
        <w:t>分项报价格式自拟，</w:t>
      </w:r>
      <w:r>
        <w:rPr>
          <w:rFonts w:hint="eastAsia" w:ascii="宋体" w:hAnsi="宋体" w:cs="宋体"/>
          <w:szCs w:val="21"/>
        </w:rPr>
        <w:t>如果行数不够，请自行增加。</w:t>
      </w:r>
    </w:p>
    <w:p>
      <w:pPr>
        <w:widowControl/>
        <w:shd w:val="clear" w:color="auto" w:fill="FFFFFF"/>
        <w:spacing w:line="360" w:lineRule="auto"/>
        <w:ind w:firstLine="210"/>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tabs>
          <w:tab w:val="left" w:pos="5808"/>
        </w:tabs>
        <w:spacing w:line="360" w:lineRule="auto"/>
        <w:jc w:val="left"/>
        <w:rPr>
          <w:rFonts w:ascii="宋体" w:hAnsi="宋体" w:cs="宋体"/>
          <w:szCs w:val="21"/>
        </w:rPr>
      </w:pPr>
      <w:r>
        <w:rPr>
          <w:rFonts w:hint="eastAsia" w:ascii="宋体" w:hAnsi="宋体" w:cs="宋体"/>
          <w:szCs w:val="21"/>
        </w:rPr>
        <w:tab/>
      </w:r>
    </w:p>
    <w:p>
      <w:pPr>
        <w:widowControl/>
        <w:shd w:val="clear" w:color="auto" w:fill="FFFFFF"/>
        <w:spacing w:line="360" w:lineRule="auto"/>
        <w:ind w:firstLine="210"/>
        <w:jc w:val="left"/>
        <w:rPr>
          <w:rFonts w:ascii="宋体" w:hAnsi="宋体" w:cs="宋体"/>
          <w:szCs w:val="21"/>
        </w:rPr>
      </w:pPr>
      <w:r>
        <w:rPr>
          <w:rFonts w:hint="eastAsia" w:ascii="宋体" w:hAnsi="宋体" w:cs="宋体"/>
          <w:szCs w:val="21"/>
        </w:rPr>
        <w:t>投标人（</w:t>
      </w:r>
      <w:bookmarkStart w:id="136" w:name="_Hlk176254340"/>
      <w:r>
        <w:rPr>
          <w:rFonts w:hint="eastAsia" w:ascii="宋体" w:hAnsi="宋体" w:cs="宋体"/>
          <w:szCs w:val="21"/>
        </w:rPr>
        <w:t>加盖电子公章</w:t>
      </w:r>
      <w:bookmarkEnd w:id="136"/>
      <w:r>
        <w:rPr>
          <w:rFonts w:hint="eastAsia" w:ascii="宋体" w:hAnsi="宋体" w:cs="宋体"/>
          <w:szCs w:val="21"/>
        </w:rPr>
        <w:t>）：</w:t>
      </w:r>
      <w:r>
        <w:rPr>
          <w:rFonts w:hint="eastAsia" w:ascii="宋体" w:hAnsi="宋体" w:cs="宋体"/>
          <w:szCs w:val="21"/>
          <w:u w:val="single"/>
        </w:rPr>
        <w:t>                                </w:t>
      </w: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r>
        <w:rPr>
          <w:rFonts w:hint="eastAsia" w:ascii="宋体" w:hAnsi="宋体" w:cs="宋体"/>
          <w:szCs w:val="21"/>
        </w:rPr>
        <w:t> </w:t>
      </w:r>
    </w:p>
    <w:p>
      <w:pPr>
        <w:pStyle w:val="204"/>
        <w:rPr>
          <w:rFonts w:ascii="宋体" w:hAnsi="宋体" w:cs="宋体"/>
          <w:lang w:val="zh-CN"/>
        </w:rPr>
      </w:pPr>
      <w:r>
        <w:rPr>
          <w:rFonts w:hint="eastAsia" w:ascii="宋体" w:hAnsi="宋体" w:cs="宋体"/>
          <w:szCs w:val="21"/>
        </w:rPr>
        <w:br w:type="page" w:clear="all"/>
      </w:r>
      <w:bookmarkStart w:id="137" w:name="_Toc66375428"/>
      <w:bookmarkStart w:id="138" w:name="_Toc43917775"/>
      <w:r>
        <w:rPr>
          <w:rFonts w:hint="eastAsia" w:ascii="宋体" w:hAnsi="宋体" w:cs="宋体"/>
          <w:lang w:val="zh-CN"/>
        </w:rPr>
        <w:t>附件六、</w:t>
      </w:r>
      <w:bookmarkStart w:id="139" w:name="_Hlk176528721"/>
      <w:r>
        <w:rPr>
          <w:rFonts w:hint="eastAsia" w:ascii="宋体" w:hAnsi="宋体" w:cs="宋体"/>
          <w:lang w:val="zh-CN"/>
        </w:rPr>
        <w:t>技术要求响应及偏离表</w:t>
      </w:r>
      <w:bookmarkEnd w:id="137"/>
      <w:bookmarkEnd w:id="138"/>
      <w:bookmarkEnd w:id="139"/>
    </w:p>
    <w:p>
      <w:pPr>
        <w:widowControl/>
        <w:shd w:val="clear" w:color="auto" w:fill="FFFFFF"/>
        <w:spacing w:line="360" w:lineRule="auto"/>
        <w:ind w:left="435"/>
        <w:jc w:val="left"/>
        <w:rPr>
          <w:rFonts w:ascii="宋体" w:hAnsi="宋体" w:cs="宋体"/>
          <w:szCs w:val="21"/>
        </w:rPr>
      </w:pPr>
      <w:r>
        <w:rPr>
          <w:rFonts w:hint="eastAsia" w:ascii="宋体" w:hAnsi="宋体" w:cs="宋体"/>
          <w:sz w:val="24"/>
        </w:rPr>
        <w:t> </w:t>
      </w:r>
    </w:p>
    <w:p>
      <w:pPr>
        <w:widowControl/>
        <w:shd w:val="clear" w:color="auto" w:fill="FFFFFF"/>
        <w:spacing w:line="360" w:lineRule="auto"/>
        <w:jc w:val="center"/>
        <w:rPr>
          <w:rFonts w:ascii="宋体" w:hAnsi="宋体" w:cs="宋体"/>
          <w:szCs w:val="21"/>
        </w:rPr>
      </w:pPr>
      <w:bookmarkStart w:id="140" w:name="_Hlk176528733"/>
      <w:r>
        <w:rPr>
          <w:rFonts w:hint="eastAsia" w:ascii="宋体" w:hAnsi="宋体" w:cs="宋体"/>
          <w:b/>
          <w:sz w:val="32"/>
          <w:szCs w:val="32"/>
        </w:rPr>
        <w:t>技术要求响应及偏离表</w:t>
      </w:r>
    </w:p>
    <w:p>
      <w:pPr>
        <w:widowControl/>
        <w:tabs>
          <w:tab w:val="left" w:pos="5397"/>
        </w:tabs>
        <w:spacing w:line="360" w:lineRule="auto"/>
        <w:ind w:firstLine="294"/>
        <w:jc w:val="left"/>
        <w:rPr>
          <w:rFonts w:ascii="宋体" w:hAnsi="宋体" w:cs="宋体"/>
          <w:szCs w:val="21"/>
        </w:rPr>
      </w:pPr>
      <w:r>
        <w:rPr>
          <w:rFonts w:hint="eastAsia" w:ascii="宋体" w:hAnsi="宋体" w:cs="宋体"/>
          <w:szCs w:val="21"/>
        </w:rPr>
        <w:t>项目名称：</w:t>
      </w:r>
      <w:r>
        <w:rPr>
          <w:rFonts w:hint="eastAsia" w:ascii="宋体" w:hAnsi="宋体" w:cs="宋体"/>
          <w:szCs w:val="21"/>
        </w:rPr>
        <w:tab/>
      </w:r>
      <w:r>
        <w:rPr>
          <w:rFonts w:hint="eastAsia" w:ascii="宋体" w:hAnsi="宋体" w:cs="宋体"/>
          <w:szCs w:val="21"/>
        </w:rPr>
        <w:t>项目编号：</w:t>
      </w:r>
    </w:p>
    <w:p>
      <w:pPr>
        <w:widowControl/>
        <w:tabs>
          <w:tab w:val="left" w:pos="5397"/>
        </w:tabs>
        <w:spacing w:line="360" w:lineRule="auto"/>
        <w:jc w:val="left"/>
        <w:rPr>
          <w:rFonts w:ascii="宋体" w:hAnsi="宋体" w:cs="宋体"/>
          <w:szCs w:val="21"/>
        </w:rPr>
      </w:pPr>
    </w:p>
    <w:p>
      <w:pPr>
        <w:widowControl/>
        <w:shd w:val="clear" w:color="auto" w:fill="FFFFFF"/>
        <w:spacing w:line="360" w:lineRule="auto"/>
        <w:ind w:firstLine="210"/>
        <w:jc w:val="left"/>
        <w:rPr>
          <w:rFonts w:ascii="宋体" w:hAnsi="宋体" w:cs="宋体"/>
          <w:szCs w:val="21"/>
        </w:rPr>
      </w:pPr>
      <w:r>
        <w:rPr>
          <w:rFonts w:hint="eastAsia" w:ascii="宋体" w:hAnsi="宋体" w:cs="宋体"/>
          <w:szCs w:val="21"/>
        </w:rPr>
        <w:t>说明：</w:t>
      </w:r>
    </w:p>
    <w:p>
      <w:pPr>
        <w:widowControl/>
        <w:shd w:val="clear" w:color="auto" w:fill="FFFFFF"/>
        <w:spacing w:line="360" w:lineRule="auto"/>
        <w:ind w:firstLine="211"/>
        <w:jc w:val="left"/>
        <w:rPr>
          <w:rFonts w:ascii="宋体" w:hAnsi="宋体" w:cs="宋体"/>
          <w:b/>
          <w:bCs/>
          <w:szCs w:val="21"/>
        </w:rPr>
      </w:pPr>
      <w:bookmarkStart w:id="141" w:name="OLE_LINK37"/>
      <w:r>
        <w:rPr>
          <w:rFonts w:hint="eastAsia" w:ascii="宋体" w:hAnsi="宋体" w:cs="宋体"/>
          <w:b/>
          <w:bCs/>
          <w:szCs w:val="21"/>
        </w:rPr>
        <w:t>1.</w:t>
      </w:r>
      <w:bookmarkStart w:id="142" w:name="OLE_LINK41"/>
      <w:r>
        <w:rPr>
          <w:rFonts w:hint="eastAsia" w:ascii="宋体" w:hAnsi="宋体" w:cs="宋体"/>
          <w:b/>
          <w:bCs/>
        </w:rPr>
        <w:t>投标人</w:t>
      </w:r>
      <w:bookmarkEnd w:id="142"/>
      <w:r>
        <w:rPr>
          <w:rFonts w:hint="eastAsia" w:ascii="宋体" w:hAnsi="宋体" w:cs="宋体"/>
          <w:b/>
          <w:bCs/>
          <w:szCs w:val="21"/>
        </w:rPr>
        <w:t>须对采购文件技术要求中的实质性要求（斜体下划线内容或打“★”“*”内容）做出明确响应，</w:t>
      </w:r>
      <w:r>
        <w:rPr>
          <w:rFonts w:hint="eastAsia" w:ascii="宋体" w:hAnsi="宋体" w:cs="宋体"/>
          <w:b/>
          <w:bCs/>
        </w:rPr>
        <w:t>投标人</w:t>
      </w:r>
      <w:r>
        <w:rPr>
          <w:rFonts w:hint="eastAsia" w:ascii="宋体" w:hAnsi="宋体" w:cs="宋体"/>
          <w:b/>
          <w:bCs/>
          <w:szCs w:val="21"/>
        </w:rPr>
        <w:t>未对实质性要求作出明确响应或有负偏离的，视为无效投标。</w:t>
      </w:r>
    </w:p>
    <w:p>
      <w:pPr>
        <w:widowControl/>
        <w:shd w:val="clear" w:color="auto" w:fill="FFFFFF"/>
        <w:spacing w:line="360" w:lineRule="auto"/>
        <w:ind w:firstLine="210"/>
        <w:jc w:val="left"/>
        <w:rPr>
          <w:rFonts w:ascii="宋体" w:hAnsi="宋体" w:cs="宋体"/>
          <w:szCs w:val="21"/>
        </w:rPr>
      </w:pPr>
      <w:r>
        <w:rPr>
          <w:rFonts w:hint="eastAsia" w:ascii="宋体" w:hAnsi="宋体" w:cs="宋体"/>
          <w:szCs w:val="21"/>
        </w:rPr>
        <w:t>2.行数不够，可自行添加。</w:t>
      </w:r>
      <w:bookmarkEnd w:id="140"/>
      <w:bookmarkEnd w:id="141"/>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ind w:firstLine="210"/>
        <w:jc w:val="left"/>
        <w:rPr>
          <w:rFonts w:ascii="宋体" w:hAnsi="宋体" w:cs="宋体"/>
          <w:szCs w:val="21"/>
        </w:rPr>
      </w:pPr>
      <w:r>
        <w:rPr>
          <w:rFonts w:hint="eastAsia" w:ascii="宋体" w:hAnsi="宋体" w:cs="宋体"/>
          <w:szCs w:val="21"/>
        </w:rPr>
        <w:t>投标人（加盖电子公章）：</w:t>
      </w:r>
      <w:r>
        <w:rPr>
          <w:rFonts w:hint="eastAsia" w:ascii="宋体" w:hAnsi="宋体" w:cs="宋体"/>
          <w:szCs w:val="21"/>
          <w:u w:val="single"/>
        </w:rPr>
        <w:t>                                </w:t>
      </w: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r>
        <w:rPr>
          <w:rFonts w:hint="eastAsia" w:ascii="宋体" w:hAnsi="宋体" w:cs="宋体"/>
          <w:szCs w:val="21"/>
        </w:rPr>
        <w:t> </w:t>
      </w: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rPr>
          <w:rFonts w:ascii="宋体" w:hAnsi="宋体" w:cs="宋体"/>
        </w:rPr>
      </w:pPr>
      <w:bookmarkStart w:id="143" w:name="_Toc66375429"/>
      <w:bookmarkStart w:id="144" w:name="_Toc43917776"/>
      <w:r>
        <w:rPr>
          <w:rFonts w:hint="eastAsia" w:ascii="宋体" w:hAnsi="宋体" w:cs="宋体"/>
        </w:rPr>
        <w:br w:type="page" w:clear="all"/>
      </w:r>
    </w:p>
    <w:p>
      <w:pPr>
        <w:pStyle w:val="204"/>
        <w:numPr>
          <w:ilvl w:val="1"/>
          <w:numId w:val="0"/>
        </w:numPr>
        <w:rPr>
          <w:rFonts w:ascii="宋体" w:hAnsi="宋体" w:cs="宋体"/>
        </w:rPr>
      </w:pPr>
      <w:r>
        <w:rPr>
          <w:rFonts w:hint="eastAsia" w:ascii="宋体" w:hAnsi="宋体" w:cs="宋体"/>
        </w:rPr>
        <w:t>附件七、</w:t>
      </w:r>
      <w:bookmarkStart w:id="145" w:name="_Hlk176528748"/>
      <w:r>
        <w:rPr>
          <w:rFonts w:hint="eastAsia" w:ascii="宋体" w:hAnsi="宋体" w:cs="宋体"/>
        </w:rPr>
        <w:t>商务要求响应及偏离表</w:t>
      </w:r>
      <w:bookmarkEnd w:id="143"/>
      <w:bookmarkEnd w:id="144"/>
      <w:bookmarkEnd w:id="145"/>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 </w:t>
      </w:r>
      <w:bookmarkStart w:id="146" w:name="_Hlk176528759"/>
    </w:p>
    <w:p>
      <w:pPr>
        <w:widowControl/>
        <w:shd w:val="clear" w:color="auto" w:fill="FFFFFF"/>
        <w:spacing w:line="360" w:lineRule="auto"/>
        <w:jc w:val="center"/>
        <w:rPr>
          <w:rFonts w:ascii="宋体" w:hAnsi="宋体" w:cs="宋体"/>
          <w:szCs w:val="21"/>
        </w:rPr>
      </w:pPr>
      <w:r>
        <w:rPr>
          <w:rFonts w:hint="eastAsia" w:ascii="宋体" w:hAnsi="宋体" w:cs="宋体"/>
          <w:b/>
          <w:sz w:val="32"/>
          <w:szCs w:val="32"/>
        </w:rPr>
        <w:t>商务要求响应及偏离表</w:t>
      </w:r>
    </w:p>
    <w:p>
      <w:pPr>
        <w:widowControl/>
        <w:tabs>
          <w:tab w:val="left" w:pos="5366"/>
        </w:tabs>
        <w:spacing w:line="360" w:lineRule="auto"/>
        <w:ind w:firstLine="306"/>
        <w:jc w:val="left"/>
        <w:rPr>
          <w:rFonts w:ascii="宋体" w:hAnsi="宋体" w:cs="宋体"/>
          <w:szCs w:val="21"/>
        </w:rPr>
      </w:pPr>
      <w:r>
        <w:rPr>
          <w:rFonts w:hint="eastAsia" w:ascii="宋体" w:hAnsi="宋体" w:cs="宋体"/>
          <w:szCs w:val="21"/>
        </w:rPr>
        <w:t>项目名称：</w:t>
      </w:r>
      <w:r>
        <w:rPr>
          <w:rFonts w:hint="eastAsia" w:ascii="宋体" w:hAnsi="宋体" w:cs="宋体"/>
          <w:szCs w:val="21"/>
        </w:rPr>
        <w:tab/>
      </w:r>
      <w:r>
        <w:rPr>
          <w:rFonts w:hint="eastAsia" w:ascii="宋体" w:hAnsi="宋体" w:cs="宋体"/>
          <w:szCs w:val="21"/>
        </w:rPr>
        <w:t>项目编号：         </w:t>
      </w:r>
    </w:p>
    <w:p>
      <w:pPr>
        <w:widowControl/>
        <w:shd w:val="clear" w:color="auto" w:fill="FFFFFF"/>
        <w:spacing w:line="360" w:lineRule="auto"/>
        <w:jc w:val="left"/>
        <w:rPr>
          <w:rFonts w:ascii="宋体" w:hAnsi="宋体" w:cs="宋体"/>
          <w:szCs w:val="21"/>
        </w:rPr>
      </w:pPr>
    </w:p>
    <w:p>
      <w:pPr>
        <w:pStyle w:val="38"/>
        <w:spacing w:line="360" w:lineRule="auto"/>
        <w:ind w:firstLine="480"/>
        <w:rPr>
          <w:sz w:val="21"/>
          <w:szCs w:val="21"/>
        </w:rPr>
      </w:pPr>
      <w:r>
        <w:rPr>
          <w:rFonts w:hint="eastAsia"/>
          <w:sz w:val="21"/>
          <w:szCs w:val="21"/>
        </w:rPr>
        <w:t>说明：</w:t>
      </w:r>
    </w:p>
    <w:p>
      <w:pPr>
        <w:pStyle w:val="38"/>
        <w:shd w:val="clear" w:color="auto" w:fill="FFFFFF"/>
        <w:spacing w:line="360" w:lineRule="auto"/>
        <w:ind w:firstLine="422"/>
        <w:rPr>
          <w:b/>
          <w:bCs/>
          <w:szCs w:val="21"/>
        </w:rPr>
      </w:pPr>
      <w:r>
        <w:rPr>
          <w:rFonts w:hint="eastAsia"/>
          <w:b/>
          <w:bCs/>
          <w:sz w:val="21"/>
          <w:szCs w:val="21"/>
        </w:rPr>
        <w:t>1.投标人须对采购文件商务要求中的实质性要求（斜体下划线内容或打“★”“*”内容）做出明确响应，投标人未对实质性要求作出明确响应或有负偏离的，视为无效投标。</w:t>
      </w:r>
    </w:p>
    <w:p>
      <w:pPr>
        <w:widowControl/>
        <w:shd w:val="clear" w:color="auto" w:fill="FFFFFF"/>
        <w:spacing w:line="360" w:lineRule="auto"/>
        <w:ind w:firstLine="420"/>
        <w:jc w:val="left"/>
        <w:rPr>
          <w:rFonts w:ascii="宋体" w:hAnsi="宋体" w:cs="宋体"/>
          <w:szCs w:val="21"/>
        </w:rPr>
      </w:pPr>
      <w:r>
        <w:rPr>
          <w:rFonts w:hint="eastAsia" w:ascii="宋体" w:hAnsi="宋体" w:cs="宋体"/>
          <w:szCs w:val="21"/>
        </w:rPr>
        <w:t>2.行数不够，可自行添加。</w:t>
      </w:r>
    </w:p>
    <w:p>
      <w:pPr>
        <w:widowControl/>
        <w:shd w:val="clear" w:color="auto" w:fill="FFFFFF"/>
        <w:spacing w:line="360" w:lineRule="auto"/>
        <w:ind w:firstLine="210"/>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ind w:firstLine="210"/>
        <w:jc w:val="left"/>
        <w:rPr>
          <w:rFonts w:ascii="宋体" w:hAnsi="宋体" w:cs="宋体"/>
          <w:szCs w:val="21"/>
        </w:rPr>
      </w:pPr>
      <w:r>
        <w:rPr>
          <w:rFonts w:hint="eastAsia" w:ascii="宋体" w:hAnsi="宋体" w:cs="宋体"/>
          <w:szCs w:val="21"/>
        </w:rPr>
        <w:t>投标人（加盖电子公章）：</w:t>
      </w:r>
      <w:r>
        <w:rPr>
          <w:rFonts w:hint="eastAsia" w:ascii="宋体" w:hAnsi="宋体" w:cs="宋体"/>
          <w:szCs w:val="21"/>
          <w:u w:val="single"/>
        </w:rPr>
        <w:t>                                </w:t>
      </w:r>
      <w:bookmarkEnd w:id="146"/>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r>
        <w:rPr>
          <w:rFonts w:hint="eastAsia" w:ascii="宋体" w:hAnsi="宋体" w:cs="宋体"/>
          <w:szCs w:val="21"/>
        </w:rPr>
        <w:t> </w:t>
      </w:r>
    </w:p>
    <w:p>
      <w:pPr>
        <w:widowControl/>
        <w:shd w:val="clear" w:color="auto" w:fill="FFFFFF"/>
        <w:spacing w:line="360" w:lineRule="auto"/>
        <w:jc w:val="left"/>
        <w:rPr>
          <w:rFonts w:ascii="宋体" w:hAnsi="宋体" w:cs="宋体"/>
          <w:szCs w:val="21"/>
        </w:rPr>
      </w:pPr>
      <w:r>
        <w:rPr>
          <w:rFonts w:hint="eastAsia" w:ascii="宋体" w:hAnsi="宋体" w:cs="宋体"/>
          <w:szCs w:val="21"/>
        </w:rPr>
        <w:t> </w:t>
      </w:r>
    </w:p>
    <w:p>
      <w:pPr>
        <w:widowControl/>
        <w:shd w:val="clear" w:color="auto" w:fill="FFFFFF"/>
        <w:spacing w:line="360" w:lineRule="auto"/>
        <w:jc w:val="left"/>
        <w:rPr>
          <w:rFonts w:ascii="宋体" w:hAnsi="宋体" w:cs="宋体"/>
          <w:szCs w:val="21"/>
        </w:rPr>
      </w:pPr>
    </w:p>
    <w:p>
      <w:pPr>
        <w:rPr>
          <w:rFonts w:ascii="宋体" w:hAnsi="宋体" w:cs="宋体"/>
        </w:rPr>
      </w:pPr>
      <w:bookmarkStart w:id="147" w:name="_Toc43917778"/>
      <w:bookmarkStart w:id="148" w:name="_Toc66375431"/>
      <w:r>
        <w:rPr>
          <w:rFonts w:hint="eastAsia" w:ascii="宋体" w:hAnsi="宋体" w:cs="宋体"/>
        </w:rPr>
        <w:br w:type="page" w:clear="all"/>
      </w:r>
    </w:p>
    <w:p>
      <w:pPr>
        <w:pStyle w:val="204"/>
        <w:rPr>
          <w:rFonts w:ascii="宋体" w:hAnsi="宋体" w:cs="宋体"/>
        </w:rPr>
      </w:pPr>
      <w:r>
        <w:rPr>
          <w:rFonts w:hint="eastAsia" w:ascii="宋体" w:hAnsi="宋体" w:cs="宋体"/>
        </w:rPr>
        <w:t>附件八、拟参与本项目服务人员一览表</w:t>
      </w:r>
      <w:bookmarkEnd w:id="147"/>
      <w:bookmarkEnd w:id="148"/>
    </w:p>
    <w:p>
      <w:pPr>
        <w:widowControl/>
        <w:spacing w:line="460" w:lineRule="atLeast"/>
        <w:rPr>
          <w:rFonts w:ascii="宋体" w:hAnsi="宋体" w:cs="宋体"/>
          <w:b/>
          <w:bCs/>
          <w:sz w:val="24"/>
        </w:rPr>
      </w:pPr>
    </w:p>
    <w:p>
      <w:pPr>
        <w:widowControl/>
        <w:shd w:val="clear" w:color="auto" w:fill="FFFFFF"/>
        <w:spacing w:line="360" w:lineRule="auto"/>
        <w:ind w:left="420"/>
        <w:jc w:val="center"/>
        <w:rPr>
          <w:rFonts w:ascii="宋体" w:hAnsi="宋体" w:cs="宋体"/>
          <w:b/>
          <w:sz w:val="30"/>
          <w:szCs w:val="30"/>
        </w:rPr>
      </w:pPr>
      <w:bookmarkStart w:id="149" w:name="_Hlk67995747"/>
      <w:r>
        <w:rPr>
          <w:rFonts w:hint="eastAsia" w:ascii="宋体" w:hAnsi="宋体" w:cs="宋体"/>
          <w:b/>
          <w:sz w:val="32"/>
          <w:szCs w:val="32"/>
        </w:rPr>
        <w:t>拟参与本项目服务人员一览表</w:t>
      </w:r>
      <w:bookmarkEnd w:id="149"/>
      <w:bookmarkStart w:id="150" w:name="_Hlk66378104"/>
      <w:bookmarkEnd w:id="150"/>
    </w:p>
    <w:p>
      <w:pPr>
        <w:widowControl/>
        <w:jc w:val="center"/>
        <w:rPr>
          <w:rFonts w:ascii="宋体" w:hAnsi="宋体" w:cs="宋体"/>
          <w:b/>
          <w:bCs/>
          <w:sz w:val="24"/>
        </w:rPr>
      </w:pPr>
    </w:p>
    <w:p>
      <w:pPr>
        <w:widowControl/>
        <w:rPr>
          <w:rFonts w:ascii="宋体" w:hAnsi="宋体" w:cs="宋体"/>
          <w:szCs w:val="21"/>
        </w:rPr>
      </w:pPr>
      <w:bookmarkStart w:id="151" w:name="_Hlk66784308"/>
      <w:r>
        <w:rPr>
          <w:rFonts w:hint="eastAsia" w:ascii="宋体" w:hAnsi="宋体" w:cs="宋体"/>
          <w:szCs w:val="21"/>
        </w:rPr>
        <w:t>项目名称：                                 项目编号：</w:t>
      </w:r>
      <w:bookmarkEnd w:id="151"/>
    </w:p>
    <w:tbl>
      <w:tblPr>
        <w:tblStyle w:val="44"/>
        <w:tblW w:w="9464" w:type="dxa"/>
        <w:jc w:val="center"/>
        <w:tblLayout w:type="fixed"/>
        <w:tblCellMar>
          <w:top w:w="0" w:type="dxa"/>
          <w:left w:w="108" w:type="dxa"/>
          <w:bottom w:w="0" w:type="dxa"/>
          <w:right w:w="108" w:type="dxa"/>
        </w:tblCellMar>
      </w:tblPr>
      <w:tblGrid>
        <w:gridCol w:w="558"/>
        <w:gridCol w:w="890"/>
        <w:gridCol w:w="890"/>
        <w:gridCol w:w="890"/>
        <w:gridCol w:w="890"/>
        <w:gridCol w:w="891"/>
        <w:gridCol w:w="891"/>
        <w:gridCol w:w="891"/>
        <w:gridCol w:w="891"/>
        <w:gridCol w:w="891"/>
        <w:gridCol w:w="891"/>
      </w:tblGrid>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序号</w:t>
            </w:r>
          </w:p>
        </w:tc>
        <w:tc>
          <w:tcPr>
            <w:tcW w:w="890"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姓名</w:t>
            </w:r>
          </w:p>
        </w:tc>
        <w:tc>
          <w:tcPr>
            <w:tcW w:w="890"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性别</w:t>
            </w:r>
          </w:p>
        </w:tc>
        <w:tc>
          <w:tcPr>
            <w:tcW w:w="890"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年龄</w:t>
            </w:r>
          </w:p>
        </w:tc>
        <w:tc>
          <w:tcPr>
            <w:tcW w:w="890"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专业</w:t>
            </w:r>
          </w:p>
        </w:tc>
        <w:tc>
          <w:tcPr>
            <w:tcW w:w="89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学历</w:t>
            </w:r>
          </w:p>
        </w:tc>
        <w:tc>
          <w:tcPr>
            <w:tcW w:w="89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执业</w:t>
            </w:r>
          </w:p>
          <w:p>
            <w:pPr>
              <w:widowControl/>
              <w:jc w:val="center"/>
              <w:rPr>
                <w:rFonts w:ascii="宋体" w:hAnsi="宋体" w:cs="宋体"/>
                <w:b/>
                <w:bCs/>
                <w:szCs w:val="21"/>
              </w:rPr>
            </w:pPr>
            <w:r>
              <w:rPr>
                <w:rFonts w:hint="eastAsia" w:ascii="宋体" w:hAnsi="宋体" w:cs="宋体"/>
                <w:b/>
                <w:bCs/>
                <w:szCs w:val="21"/>
              </w:rPr>
              <w:t>资格</w:t>
            </w:r>
          </w:p>
        </w:tc>
        <w:tc>
          <w:tcPr>
            <w:tcW w:w="89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证书号</w:t>
            </w:r>
          </w:p>
        </w:tc>
        <w:tc>
          <w:tcPr>
            <w:tcW w:w="89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技术职称</w:t>
            </w:r>
          </w:p>
        </w:tc>
        <w:tc>
          <w:tcPr>
            <w:tcW w:w="89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相关工作年限</w:t>
            </w:r>
          </w:p>
        </w:tc>
        <w:tc>
          <w:tcPr>
            <w:tcW w:w="891" w:type="dxa"/>
            <w:tcBorders>
              <w:top w:val="single" w:color="000000" w:sz="4" w:space="0"/>
              <w:left w:val="nil"/>
              <w:bottom w:val="single" w:color="000000" w:sz="4" w:space="0"/>
              <w:right w:val="single" w:color="000000" w:sz="4" w:space="0"/>
            </w:tcBorders>
            <w:vAlign w:val="center"/>
          </w:tcPr>
          <w:p>
            <w:pPr>
              <w:widowControl/>
              <w:jc w:val="center"/>
              <w:rPr>
                <w:rFonts w:ascii="宋体" w:hAnsi="宋体" w:cs="宋体"/>
                <w:b/>
                <w:bCs/>
                <w:szCs w:val="21"/>
              </w:rPr>
            </w:pPr>
            <w:r>
              <w:rPr>
                <w:rFonts w:hint="eastAsia" w:ascii="宋体" w:hAnsi="宋体" w:cs="宋体"/>
                <w:b/>
                <w:bCs/>
                <w:szCs w:val="21"/>
              </w:rPr>
              <w:t>备注</w:t>
            </w: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r>
        <w:tblPrEx>
          <w:tblCellMar>
            <w:top w:w="0" w:type="dxa"/>
            <w:left w:w="108" w:type="dxa"/>
            <w:bottom w:w="0" w:type="dxa"/>
            <w:right w:w="108" w:type="dxa"/>
          </w:tblCellMar>
        </w:tblPrEx>
        <w:trPr>
          <w:jc w:val="center"/>
        </w:trPr>
        <w:tc>
          <w:tcPr>
            <w:tcW w:w="558" w:type="dxa"/>
            <w:tcBorders>
              <w:top w:val="single" w:color="000000" w:sz="4" w:space="0"/>
              <w:left w:val="single" w:color="000000" w:sz="4" w:space="0"/>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0"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c>
          <w:tcPr>
            <w:tcW w:w="891" w:type="dxa"/>
            <w:tcBorders>
              <w:top w:val="single" w:color="000000" w:sz="4" w:space="0"/>
              <w:left w:val="nil"/>
              <w:bottom w:val="single" w:color="000000" w:sz="4" w:space="0"/>
              <w:right w:val="single" w:color="000000" w:sz="4" w:space="0"/>
            </w:tcBorders>
          </w:tcPr>
          <w:p>
            <w:pPr>
              <w:widowControl/>
              <w:rPr>
                <w:rFonts w:ascii="宋体" w:hAnsi="宋体" w:cs="宋体"/>
                <w:szCs w:val="21"/>
              </w:rPr>
            </w:pPr>
          </w:p>
        </w:tc>
      </w:tr>
    </w:tbl>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r>
        <w:rPr>
          <w:rFonts w:hint="eastAsia" w:ascii="宋体" w:hAnsi="宋体" w:cs="宋体"/>
          <w:szCs w:val="21"/>
        </w:rPr>
        <w:t>说明：如果行数不够，请自行增加。</w:t>
      </w: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r>
        <w:rPr>
          <w:rFonts w:hint="eastAsia" w:ascii="宋体" w:hAnsi="宋体" w:cs="宋体"/>
          <w:szCs w:val="21"/>
        </w:rPr>
        <w:t>投标人（加盖电子公章）：</w:t>
      </w:r>
      <w:r>
        <w:rPr>
          <w:rFonts w:hint="eastAsia" w:ascii="宋体" w:hAnsi="宋体" w:cs="宋体"/>
          <w:szCs w:val="21"/>
          <w:u w:val="single"/>
        </w:rPr>
        <w:t>                                         </w:t>
      </w:r>
    </w:p>
    <w:p>
      <w:pPr>
        <w:widowControl/>
        <w:rPr>
          <w:rFonts w:ascii="宋体" w:hAnsi="宋体" w:cs="宋体"/>
          <w:szCs w:val="21"/>
        </w:rPr>
      </w:pPr>
    </w:p>
    <w:p>
      <w:pPr>
        <w:widowControl/>
        <w:rPr>
          <w:rFonts w:ascii="宋体" w:hAnsi="宋体" w:cs="宋体"/>
          <w:b/>
          <w:bCs/>
          <w:szCs w:val="21"/>
        </w:rPr>
      </w:pPr>
      <w:r>
        <w:rPr>
          <w:rFonts w:hint="eastAsia" w:ascii="宋体" w:hAnsi="宋体" w:cs="宋体"/>
          <w:b/>
          <w:bCs/>
          <w:szCs w:val="21"/>
        </w:rPr>
        <w:br w:type="page" w:clear="all"/>
      </w:r>
    </w:p>
    <w:p>
      <w:pPr>
        <w:pStyle w:val="204"/>
        <w:rPr>
          <w:rFonts w:ascii="宋体" w:hAnsi="宋体" w:cs="宋体"/>
        </w:rPr>
      </w:pPr>
      <w:bookmarkStart w:id="152" w:name="_Toc66375432"/>
      <w:bookmarkStart w:id="153" w:name="_Toc43917779"/>
      <w:r>
        <w:rPr>
          <w:rFonts w:hint="eastAsia" w:ascii="宋体" w:hAnsi="宋体" w:cs="宋体"/>
        </w:rPr>
        <w:t>附件九、投标人类似业绩情况表</w:t>
      </w:r>
      <w:bookmarkEnd w:id="152"/>
      <w:bookmarkEnd w:id="153"/>
    </w:p>
    <w:p>
      <w:pPr>
        <w:widowControl/>
        <w:spacing w:line="360" w:lineRule="auto"/>
        <w:jc w:val="center"/>
        <w:rPr>
          <w:rFonts w:ascii="宋体" w:hAnsi="宋体" w:cs="宋体"/>
          <w:b/>
          <w:bCs/>
          <w:sz w:val="24"/>
        </w:rPr>
      </w:pPr>
    </w:p>
    <w:p>
      <w:pPr>
        <w:spacing w:line="360" w:lineRule="auto"/>
        <w:jc w:val="center"/>
        <w:rPr>
          <w:rFonts w:ascii="宋体" w:hAnsi="宋体" w:cs="宋体"/>
          <w:b/>
          <w:sz w:val="32"/>
          <w:szCs w:val="32"/>
        </w:rPr>
      </w:pPr>
      <w:r>
        <w:rPr>
          <w:rFonts w:hint="eastAsia" w:ascii="宋体" w:hAnsi="宋体" w:cs="宋体"/>
          <w:b/>
          <w:sz w:val="32"/>
          <w:szCs w:val="32"/>
        </w:rPr>
        <w:t>投标人类似业绩情况表</w:t>
      </w:r>
    </w:p>
    <w:p>
      <w:pPr>
        <w:spacing w:line="360" w:lineRule="auto"/>
        <w:jc w:val="left"/>
        <w:rPr>
          <w:rFonts w:ascii="宋体" w:hAnsi="宋体" w:cs="宋体"/>
          <w:b/>
          <w:sz w:val="32"/>
          <w:szCs w:val="32"/>
        </w:rPr>
      </w:pPr>
      <w:r>
        <w:rPr>
          <w:rFonts w:hint="eastAsia" w:ascii="宋体" w:hAnsi="宋体" w:cs="宋体"/>
          <w:szCs w:val="21"/>
        </w:rPr>
        <w:t>项目名称：                                               项目编号：</w:t>
      </w:r>
    </w:p>
    <w:tbl>
      <w:tblPr>
        <w:tblStyle w:val="44"/>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10"/>
        <w:gridCol w:w="2257"/>
        <w:gridCol w:w="1255"/>
        <w:gridCol w:w="1341"/>
        <w:gridCol w:w="1211"/>
        <w:gridCol w:w="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vAlign w:val="center"/>
          </w:tcPr>
          <w:p>
            <w:pPr>
              <w:spacing w:line="360" w:lineRule="auto"/>
              <w:jc w:val="center"/>
              <w:rPr>
                <w:rFonts w:ascii="宋体" w:hAnsi="宋体" w:cs="宋体"/>
                <w:b/>
                <w:bCs/>
                <w:szCs w:val="21"/>
              </w:rPr>
            </w:pPr>
            <w:r>
              <w:rPr>
                <w:rFonts w:hint="eastAsia" w:ascii="宋体" w:hAnsi="宋体" w:cs="宋体"/>
                <w:b/>
                <w:bCs/>
                <w:szCs w:val="21"/>
              </w:rPr>
              <w:t>序号</w:t>
            </w:r>
          </w:p>
        </w:tc>
        <w:tc>
          <w:tcPr>
            <w:tcW w:w="2310" w:type="dxa"/>
            <w:vAlign w:val="center"/>
          </w:tcPr>
          <w:p>
            <w:pPr>
              <w:spacing w:line="360" w:lineRule="auto"/>
              <w:jc w:val="center"/>
              <w:rPr>
                <w:rFonts w:ascii="宋体" w:hAnsi="宋体" w:cs="宋体"/>
                <w:b/>
                <w:bCs/>
                <w:szCs w:val="21"/>
              </w:rPr>
            </w:pPr>
            <w:r>
              <w:rPr>
                <w:rFonts w:hint="eastAsia" w:ascii="宋体" w:hAnsi="宋体" w:cs="宋体"/>
                <w:b/>
                <w:bCs/>
                <w:szCs w:val="21"/>
              </w:rPr>
              <w:t>项目名称</w:t>
            </w:r>
          </w:p>
        </w:tc>
        <w:tc>
          <w:tcPr>
            <w:tcW w:w="2257" w:type="dxa"/>
            <w:vAlign w:val="center"/>
          </w:tcPr>
          <w:p>
            <w:pPr>
              <w:spacing w:line="360" w:lineRule="auto"/>
              <w:jc w:val="center"/>
              <w:rPr>
                <w:rFonts w:ascii="宋体" w:hAnsi="宋体" w:cs="宋体"/>
                <w:b/>
                <w:bCs/>
                <w:szCs w:val="21"/>
              </w:rPr>
            </w:pPr>
            <w:r>
              <w:rPr>
                <w:rFonts w:hint="eastAsia" w:ascii="宋体" w:hAnsi="宋体" w:cs="宋体"/>
                <w:b/>
                <w:bCs/>
                <w:szCs w:val="21"/>
              </w:rPr>
              <w:t>采购单位</w:t>
            </w:r>
          </w:p>
        </w:tc>
        <w:tc>
          <w:tcPr>
            <w:tcW w:w="1255" w:type="dxa"/>
            <w:vAlign w:val="center"/>
          </w:tcPr>
          <w:p>
            <w:pPr>
              <w:spacing w:line="360" w:lineRule="auto"/>
              <w:jc w:val="center"/>
              <w:rPr>
                <w:rFonts w:ascii="宋体" w:hAnsi="宋体" w:cs="宋体"/>
                <w:b/>
                <w:bCs/>
                <w:szCs w:val="21"/>
              </w:rPr>
            </w:pPr>
            <w:r>
              <w:rPr>
                <w:rFonts w:hint="eastAsia" w:ascii="宋体" w:hAnsi="宋体" w:cs="宋体"/>
                <w:b/>
                <w:bCs/>
                <w:szCs w:val="21"/>
              </w:rPr>
              <w:t>合同金额</w:t>
            </w:r>
          </w:p>
        </w:tc>
        <w:tc>
          <w:tcPr>
            <w:tcW w:w="1341" w:type="dxa"/>
          </w:tcPr>
          <w:p>
            <w:pPr>
              <w:spacing w:line="360" w:lineRule="auto"/>
              <w:jc w:val="center"/>
              <w:rPr>
                <w:rFonts w:ascii="宋体" w:hAnsi="宋体" w:cs="宋体"/>
                <w:b/>
                <w:bCs/>
                <w:szCs w:val="21"/>
              </w:rPr>
            </w:pPr>
            <w:r>
              <w:rPr>
                <w:rFonts w:hint="eastAsia" w:ascii="宋体" w:hAnsi="宋体" w:cs="宋体"/>
                <w:b/>
                <w:bCs/>
                <w:szCs w:val="21"/>
              </w:rPr>
              <w:t>合同签订</w:t>
            </w:r>
          </w:p>
          <w:p>
            <w:pPr>
              <w:spacing w:line="360" w:lineRule="auto"/>
              <w:jc w:val="center"/>
              <w:rPr>
                <w:rFonts w:ascii="宋体" w:hAnsi="宋体" w:cs="宋体"/>
                <w:b/>
                <w:bCs/>
                <w:szCs w:val="21"/>
              </w:rPr>
            </w:pPr>
            <w:r>
              <w:rPr>
                <w:rFonts w:hint="eastAsia" w:ascii="宋体" w:hAnsi="宋体" w:cs="宋体"/>
                <w:b/>
                <w:bCs/>
                <w:szCs w:val="21"/>
              </w:rPr>
              <w:t>时间</w:t>
            </w:r>
          </w:p>
        </w:tc>
        <w:tc>
          <w:tcPr>
            <w:tcW w:w="1211" w:type="dxa"/>
          </w:tcPr>
          <w:p>
            <w:pPr>
              <w:spacing w:line="360" w:lineRule="auto"/>
              <w:jc w:val="center"/>
              <w:rPr>
                <w:rFonts w:ascii="宋体" w:hAnsi="宋体" w:cs="宋体"/>
                <w:b/>
                <w:bCs/>
                <w:szCs w:val="21"/>
              </w:rPr>
            </w:pPr>
            <w:r>
              <w:rPr>
                <w:rFonts w:hint="eastAsia" w:ascii="宋体" w:hAnsi="宋体" w:cs="宋体"/>
                <w:b/>
                <w:bCs/>
                <w:szCs w:val="21"/>
              </w:rPr>
              <w:t>联系人及电话</w:t>
            </w:r>
          </w:p>
        </w:tc>
        <w:tc>
          <w:tcPr>
            <w:tcW w:w="969" w:type="dxa"/>
            <w:vAlign w:val="center"/>
          </w:tcPr>
          <w:p>
            <w:pPr>
              <w:spacing w:line="360" w:lineRule="auto"/>
              <w:jc w:val="center"/>
              <w:rPr>
                <w:rFonts w:ascii="宋体" w:hAnsi="宋体" w:cs="宋体"/>
                <w:b/>
                <w:bCs/>
                <w:szCs w:val="21"/>
              </w:rPr>
            </w:pPr>
            <w:r>
              <w:rPr>
                <w:rFonts w:hint="eastAsia" w:ascii="宋体" w:hAnsi="宋体" w:cs="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pPr>
              <w:spacing w:line="360" w:lineRule="auto"/>
              <w:jc w:val="center"/>
              <w:rPr>
                <w:rFonts w:ascii="宋体" w:hAnsi="宋体" w:cs="宋体"/>
                <w:sz w:val="24"/>
              </w:rPr>
            </w:pPr>
          </w:p>
        </w:tc>
        <w:tc>
          <w:tcPr>
            <w:tcW w:w="2310" w:type="dxa"/>
          </w:tcPr>
          <w:p>
            <w:pPr>
              <w:spacing w:line="360" w:lineRule="auto"/>
              <w:jc w:val="center"/>
              <w:rPr>
                <w:rFonts w:ascii="宋体" w:hAnsi="宋体" w:cs="宋体"/>
                <w:sz w:val="24"/>
              </w:rPr>
            </w:pPr>
          </w:p>
        </w:tc>
        <w:tc>
          <w:tcPr>
            <w:tcW w:w="2257" w:type="dxa"/>
          </w:tcPr>
          <w:p>
            <w:pPr>
              <w:spacing w:line="360" w:lineRule="auto"/>
              <w:ind w:firstLine="120"/>
              <w:rPr>
                <w:rFonts w:ascii="宋体" w:hAnsi="宋体" w:cs="宋体"/>
                <w:sz w:val="24"/>
              </w:rPr>
            </w:pPr>
          </w:p>
        </w:tc>
        <w:tc>
          <w:tcPr>
            <w:tcW w:w="1255" w:type="dxa"/>
          </w:tcPr>
          <w:p>
            <w:pPr>
              <w:spacing w:line="360" w:lineRule="auto"/>
              <w:jc w:val="center"/>
              <w:rPr>
                <w:rFonts w:ascii="宋体" w:hAnsi="宋体" w:cs="宋体"/>
                <w:sz w:val="24"/>
              </w:rPr>
            </w:pPr>
          </w:p>
        </w:tc>
        <w:tc>
          <w:tcPr>
            <w:tcW w:w="1341" w:type="dxa"/>
          </w:tcPr>
          <w:p>
            <w:pPr>
              <w:spacing w:line="360" w:lineRule="auto"/>
              <w:jc w:val="center"/>
              <w:rPr>
                <w:rFonts w:ascii="宋体" w:hAnsi="宋体" w:cs="宋体"/>
                <w:sz w:val="24"/>
              </w:rPr>
            </w:pPr>
          </w:p>
        </w:tc>
        <w:tc>
          <w:tcPr>
            <w:tcW w:w="1211" w:type="dxa"/>
          </w:tcPr>
          <w:p>
            <w:pPr>
              <w:spacing w:line="360" w:lineRule="auto"/>
              <w:jc w:val="center"/>
              <w:rPr>
                <w:rFonts w:ascii="宋体" w:hAnsi="宋体" w:cs="宋体"/>
                <w:sz w:val="24"/>
              </w:rPr>
            </w:pPr>
          </w:p>
        </w:tc>
        <w:tc>
          <w:tcPr>
            <w:tcW w:w="969" w:type="dxa"/>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pPr>
              <w:spacing w:line="360" w:lineRule="auto"/>
              <w:jc w:val="center"/>
              <w:rPr>
                <w:rFonts w:ascii="宋体" w:hAnsi="宋体" w:cs="宋体"/>
                <w:sz w:val="24"/>
              </w:rPr>
            </w:pPr>
          </w:p>
        </w:tc>
        <w:tc>
          <w:tcPr>
            <w:tcW w:w="2310" w:type="dxa"/>
          </w:tcPr>
          <w:p>
            <w:pPr>
              <w:spacing w:line="360" w:lineRule="auto"/>
              <w:jc w:val="center"/>
              <w:rPr>
                <w:rFonts w:ascii="宋体" w:hAnsi="宋体" w:cs="宋体"/>
                <w:sz w:val="24"/>
              </w:rPr>
            </w:pPr>
          </w:p>
        </w:tc>
        <w:tc>
          <w:tcPr>
            <w:tcW w:w="2257" w:type="dxa"/>
          </w:tcPr>
          <w:p>
            <w:pPr>
              <w:spacing w:line="360" w:lineRule="auto"/>
              <w:jc w:val="center"/>
              <w:rPr>
                <w:rFonts w:ascii="宋体" w:hAnsi="宋体" w:cs="宋体"/>
                <w:sz w:val="24"/>
              </w:rPr>
            </w:pPr>
          </w:p>
        </w:tc>
        <w:tc>
          <w:tcPr>
            <w:tcW w:w="1255" w:type="dxa"/>
          </w:tcPr>
          <w:p>
            <w:pPr>
              <w:spacing w:line="360" w:lineRule="auto"/>
              <w:jc w:val="center"/>
              <w:rPr>
                <w:rFonts w:ascii="宋体" w:hAnsi="宋体" w:cs="宋体"/>
                <w:sz w:val="24"/>
              </w:rPr>
            </w:pPr>
          </w:p>
        </w:tc>
        <w:tc>
          <w:tcPr>
            <w:tcW w:w="1341" w:type="dxa"/>
          </w:tcPr>
          <w:p>
            <w:pPr>
              <w:spacing w:line="360" w:lineRule="auto"/>
              <w:jc w:val="center"/>
              <w:rPr>
                <w:rFonts w:ascii="宋体" w:hAnsi="宋体" w:cs="宋体"/>
                <w:sz w:val="24"/>
              </w:rPr>
            </w:pPr>
          </w:p>
        </w:tc>
        <w:tc>
          <w:tcPr>
            <w:tcW w:w="1211" w:type="dxa"/>
          </w:tcPr>
          <w:p>
            <w:pPr>
              <w:spacing w:line="360" w:lineRule="auto"/>
              <w:jc w:val="center"/>
              <w:rPr>
                <w:rFonts w:ascii="宋体" w:hAnsi="宋体" w:cs="宋体"/>
                <w:sz w:val="24"/>
              </w:rPr>
            </w:pPr>
          </w:p>
        </w:tc>
        <w:tc>
          <w:tcPr>
            <w:tcW w:w="969" w:type="dxa"/>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pPr>
              <w:spacing w:line="360" w:lineRule="auto"/>
              <w:jc w:val="center"/>
              <w:rPr>
                <w:rFonts w:ascii="宋体" w:hAnsi="宋体" w:cs="宋体"/>
                <w:sz w:val="24"/>
              </w:rPr>
            </w:pPr>
          </w:p>
        </w:tc>
        <w:tc>
          <w:tcPr>
            <w:tcW w:w="2310" w:type="dxa"/>
          </w:tcPr>
          <w:p>
            <w:pPr>
              <w:spacing w:line="360" w:lineRule="auto"/>
              <w:jc w:val="center"/>
              <w:rPr>
                <w:rFonts w:ascii="宋体" w:hAnsi="宋体" w:cs="宋体"/>
                <w:sz w:val="24"/>
              </w:rPr>
            </w:pPr>
          </w:p>
        </w:tc>
        <w:tc>
          <w:tcPr>
            <w:tcW w:w="2257" w:type="dxa"/>
          </w:tcPr>
          <w:p>
            <w:pPr>
              <w:spacing w:line="360" w:lineRule="auto"/>
              <w:jc w:val="center"/>
              <w:rPr>
                <w:rFonts w:ascii="宋体" w:hAnsi="宋体" w:cs="宋体"/>
                <w:sz w:val="24"/>
              </w:rPr>
            </w:pPr>
          </w:p>
        </w:tc>
        <w:tc>
          <w:tcPr>
            <w:tcW w:w="1255" w:type="dxa"/>
          </w:tcPr>
          <w:p>
            <w:pPr>
              <w:spacing w:line="360" w:lineRule="auto"/>
              <w:jc w:val="center"/>
              <w:rPr>
                <w:rFonts w:ascii="宋体" w:hAnsi="宋体" w:cs="宋体"/>
                <w:sz w:val="24"/>
              </w:rPr>
            </w:pPr>
          </w:p>
        </w:tc>
        <w:tc>
          <w:tcPr>
            <w:tcW w:w="1341" w:type="dxa"/>
          </w:tcPr>
          <w:p>
            <w:pPr>
              <w:spacing w:line="360" w:lineRule="auto"/>
              <w:jc w:val="center"/>
              <w:rPr>
                <w:rFonts w:ascii="宋体" w:hAnsi="宋体" w:cs="宋体"/>
                <w:sz w:val="24"/>
              </w:rPr>
            </w:pPr>
          </w:p>
        </w:tc>
        <w:tc>
          <w:tcPr>
            <w:tcW w:w="1211" w:type="dxa"/>
          </w:tcPr>
          <w:p>
            <w:pPr>
              <w:spacing w:line="360" w:lineRule="auto"/>
              <w:jc w:val="center"/>
              <w:rPr>
                <w:rFonts w:ascii="宋体" w:hAnsi="宋体" w:cs="宋体"/>
                <w:sz w:val="24"/>
              </w:rPr>
            </w:pPr>
          </w:p>
        </w:tc>
        <w:tc>
          <w:tcPr>
            <w:tcW w:w="969" w:type="dxa"/>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pPr>
              <w:spacing w:line="360" w:lineRule="auto"/>
              <w:jc w:val="center"/>
              <w:rPr>
                <w:rFonts w:ascii="宋体" w:hAnsi="宋体" w:cs="宋体"/>
                <w:sz w:val="24"/>
              </w:rPr>
            </w:pPr>
          </w:p>
        </w:tc>
        <w:tc>
          <w:tcPr>
            <w:tcW w:w="2310" w:type="dxa"/>
          </w:tcPr>
          <w:p>
            <w:pPr>
              <w:spacing w:line="360" w:lineRule="auto"/>
              <w:jc w:val="center"/>
              <w:rPr>
                <w:rFonts w:ascii="宋体" w:hAnsi="宋体" w:cs="宋体"/>
                <w:sz w:val="24"/>
              </w:rPr>
            </w:pPr>
          </w:p>
        </w:tc>
        <w:tc>
          <w:tcPr>
            <w:tcW w:w="2257" w:type="dxa"/>
          </w:tcPr>
          <w:p>
            <w:pPr>
              <w:spacing w:line="360" w:lineRule="auto"/>
              <w:jc w:val="center"/>
              <w:rPr>
                <w:rFonts w:ascii="宋体" w:hAnsi="宋体" w:cs="宋体"/>
                <w:sz w:val="24"/>
              </w:rPr>
            </w:pPr>
          </w:p>
        </w:tc>
        <w:tc>
          <w:tcPr>
            <w:tcW w:w="1255" w:type="dxa"/>
          </w:tcPr>
          <w:p>
            <w:pPr>
              <w:spacing w:line="360" w:lineRule="auto"/>
              <w:jc w:val="center"/>
              <w:rPr>
                <w:rFonts w:ascii="宋体" w:hAnsi="宋体" w:cs="宋体"/>
                <w:sz w:val="24"/>
              </w:rPr>
            </w:pPr>
          </w:p>
        </w:tc>
        <w:tc>
          <w:tcPr>
            <w:tcW w:w="1341" w:type="dxa"/>
          </w:tcPr>
          <w:p>
            <w:pPr>
              <w:spacing w:line="360" w:lineRule="auto"/>
              <w:jc w:val="center"/>
              <w:rPr>
                <w:rFonts w:ascii="宋体" w:hAnsi="宋体" w:cs="宋体"/>
                <w:sz w:val="24"/>
              </w:rPr>
            </w:pPr>
          </w:p>
        </w:tc>
        <w:tc>
          <w:tcPr>
            <w:tcW w:w="1211" w:type="dxa"/>
          </w:tcPr>
          <w:p>
            <w:pPr>
              <w:spacing w:line="360" w:lineRule="auto"/>
              <w:jc w:val="center"/>
              <w:rPr>
                <w:rFonts w:ascii="宋体" w:hAnsi="宋体" w:cs="宋体"/>
                <w:sz w:val="24"/>
              </w:rPr>
            </w:pPr>
          </w:p>
        </w:tc>
        <w:tc>
          <w:tcPr>
            <w:tcW w:w="969" w:type="dxa"/>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pPr>
              <w:spacing w:line="360" w:lineRule="auto"/>
              <w:jc w:val="center"/>
              <w:rPr>
                <w:rFonts w:ascii="宋体" w:hAnsi="宋体" w:cs="宋体"/>
                <w:sz w:val="24"/>
              </w:rPr>
            </w:pPr>
          </w:p>
        </w:tc>
        <w:tc>
          <w:tcPr>
            <w:tcW w:w="2310" w:type="dxa"/>
          </w:tcPr>
          <w:p>
            <w:pPr>
              <w:spacing w:line="360" w:lineRule="auto"/>
              <w:jc w:val="center"/>
              <w:rPr>
                <w:rFonts w:ascii="宋体" w:hAnsi="宋体" w:cs="宋体"/>
                <w:sz w:val="24"/>
              </w:rPr>
            </w:pPr>
          </w:p>
        </w:tc>
        <w:tc>
          <w:tcPr>
            <w:tcW w:w="2257" w:type="dxa"/>
          </w:tcPr>
          <w:p>
            <w:pPr>
              <w:spacing w:line="360" w:lineRule="auto"/>
              <w:jc w:val="center"/>
              <w:rPr>
                <w:rFonts w:ascii="宋体" w:hAnsi="宋体" w:cs="宋体"/>
                <w:sz w:val="24"/>
              </w:rPr>
            </w:pPr>
          </w:p>
        </w:tc>
        <w:tc>
          <w:tcPr>
            <w:tcW w:w="1255" w:type="dxa"/>
          </w:tcPr>
          <w:p>
            <w:pPr>
              <w:spacing w:line="360" w:lineRule="auto"/>
              <w:jc w:val="center"/>
              <w:rPr>
                <w:rFonts w:ascii="宋体" w:hAnsi="宋体" w:cs="宋体"/>
                <w:sz w:val="24"/>
              </w:rPr>
            </w:pPr>
          </w:p>
        </w:tc>
        <w:tc>
          <w:tcPr>
            <w:tcW w:w="1341" w:type="dxa"/>
          </w:tcPr>
          <w:p>
            <w:pPr>
              <w:spacing w:line="360" w:lineRule="auto"/>
              <w:jc w:val="center"/>
              <w:rPr>
                <w:rFonts w:ascii="宋体" w:hAnsi="宋体" w:cs="宋体"/>
                <w:sz w:val="24"/>
              </w:rPr>
            </w:pPr>
          </w:p>
        </w:tc>
        <w:tc>
          <w:tcPr>
            <w:tcW w:w="1211" w:type="dxa"/>
          </w:tcPr>
          <w:p>
            <w:pPr>
              <w:spacing w:line="360" w:lineRule="auto"/>
              <w:jc w:val="center"/>
              <w:rPr>
                <w:rFonts w:ascii="宋体" w:hAnsi="宋体" w:cs="宋体"/>
                <w:sz w:val="24"/>
              </w:rPr>
            </w:pPr>
          </w:p>
        </w:tc>
        <w:tc>
          <w:tcPr>
            <w:tcW w:w="969" w:type="dxa"/>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pPr>
              <w:spacing w:line="360" w:lineRule="auto"/>
              <w:jc w:val="center"/>
              <w:rPr>
                <w:rFonts w:ascii="宋体" w:hAnsi="宋体" w:cs="宋体"/>
                <w:sz w:val="24"/>
              </w:rPr>
            </w:pPr>
          </w:p>
        </w:tc>
        <w:tc>
          <w:tcPr>
            <w:tcW w:w="2310" w:type="dxa"/>
          </w:tcPr>
          <w:p>
            <w:pPr>
              <w:spacing w:line="360" w:lineRule="auto"/>
              <w:jc w:val="center"/>
              <w:rPr>
                <w:rFonts w:ascii="宋体" w:hAnsi="宋体" w:cs="宋体"/>
                <w:sz w:val="24"/>
              </w:rPr>
            </w:pPr>
          </w:p>
        </w:tc>
        <w:tc>
          <w:tcPr>
            <w:tcW w:w="2257" w:type="dxa"/>
          </w:tcPr>
          <w:p>
            <w:pPr>
              <w:spacing w:line="360" w:lineRule="auto"/>
              <w:jc w:val="center"/>
              <w:rPr>
                <w:rFonts w:ascii="宋体" w:hAnsi="宋体" w:cs="宋体"/>
                <w:sz w:val="24"/>
              </w:rPr>
            </w:pPr>
          </w:p>
        </w:tc>
        <w:tc>
          <w:tcPr>
            <w:tcW w:w="1255" w:type="dxa"/>
          </w:tcPr>
          <w:p>
            <w:pPr>
              <w:spacing w:line="360" w:lineRule="auto"/>
              <w:jc w:val="center"/>
              <w:rPr>
                <w:rFonts w:ascii="宋体" w:hAnsi="宋体" w:cs="宋体"/>
                <w:sz w:val="24"/>
              </w:rPr>
            </w:pPr>
          </w:p>
        </w:tc>
        <w:tc>
          <w:tcPr>
            <w:tcW w:w="1341" w:type="dxa"/>
          </w:tcPr>
          <w:p>
            <w:pPr>
              <w:spacing w:line="360" w:lineRule="auto"/>
              <w:jc w:val="center"/>
              <w:rPr>
                <w:rFonts w:ascii="宋体" w:hAnsi="宋体" w:cs="宋体"/>
                <w:sz w:val="24"/>
              </w:rPr>
            </w:pPr>
          </w:p>
        </w:tc>
        <w:tc>
          <w:tcPr>
            <w:tcW w:w="1211" w:type="dxa"/>
          </w:tcPr>
          <w:p>
            <w:pPr>
              <w:spacing w:line="360" w:lineRule="auto"/>
              <w:jc w:val="center"/>
              <w:rPr>
                <w:rFonts w:ascii="宋体" w:hAnsi="宋体" w:cs="宋体"/>
                <w:sz w:val="24"/>
              </w:rPr>
            </w:pPr>
          </w:p>
        </w:tc>
        <w:tc>
          <w:tcPr>
            <w:tcW w:w="969" w:type="dxa"/>
          </w:tcPr>
          <w:p>
            <w:pPr>
              <w:spacing w:line="360" w:lineRule="auto"/>
              <w:jc w:val="center"/>
              <w:rPr>
                <w:rFonts w:ascii="宋体" w:hAnsi="宋体" w:cs="宋体"/>
                <w:sz w:val="24"/>
              </w:rPr>
            </w:pPr>
          </w:p>
        </w:tc>
      </w:tr>
    </w:tbl>
    <w:p>
      <w:pPr>
        <w:spacing w:line="360" w:lineRule="auto"/>
        <w:rPr>
          <w:rFonts w:ascii="宋体" w:hAnsi="宋体" w:cs="宋体"/>
          <w:b/>
          <w:sz w:val="24"/>
        </w:rPr>
      </w:pPr>
      <w:bookmarkStart w:id="154" w:name="_Hlk66784249"/>
    </w:p>
    <w:p>
      <w:pPr>
        <w:spacing w:line="360" w:lineRule="auto"/>
        <w:rPr>
          <w:rFonts w:ascii="宋体" w:hAnsi="宋体" w:cs="宋体"/>
          <w:b/>
          <w:sz w:val="24"/>
        </w:rPr>
      </w:pPr>
      <w:r>
        <w:rPr>
          <w:rFonts w:hint="eastAsia" w:ascii="宋体" w:hAnsi="宋体" w:cs="宋体"/>
          <w:b/>
          <w:sz w:val="24"/>
        </w:rPr>
        <w:t>说</w:t>
      </w:r>
      <w:r>
        <w:rPr>
          <w:rFonts w:hint="eastAsia" w:ascii="宋体" w:hAnsi="宋体" w:cs="宋体"/>
          <w:b/>
          <w:szCs w:val="21"/>
        </w:rPr>
        <w:t>明：投标人如实填写业绩情况表，</w:t>
      </w:r>
      <w:bookmarkStart w:id="155" w:name="_Hlk66378132"/>
      <w:r>
        <w:rPr>
          <w:rFonts w:hint="eastAsia" w:ascii="宋体" w:hAnsi="宋体" w:cs="宋体"/>
          <w:b/>
          <w:szCs w:val="21"/>
        </w:rPr>
        <w:t>并根据采购文件要求附业绩证明材料。</w:t>
      </w:r>
      <w:bookmarkEnd w:id="154"/>
      <w:bookmarkEnd w:id="155"/>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p>
    <w:p>
      <w:pPr>
        <w:widowControl/>
        <w:shd w:val="clear" w:color="auto" w:fill="FFFFFF"/>
        <w:spacing w:line="360" w:lineRule="auto"/>
        <w:jc w:val="left"/>
        <w:rPr>
          <w:rFonts w:ascii="宋体" w:hAnsi="宋体" w:cs="宋体"/>
          <w:szCs w:val="21"/>
        </w:rPr>
      </w:pPr>
      <w:r>
        <w:rPr>
          <w:rFonts w:hint="eastAsia" w:ascii="宋体" w:hAnsi="宋体" w:cs="宋体"/>
          <w:szCs w:val="21"/>
        </w:rPr>
        <w:t>投标人（加盖电子公章）：</w:t>
      </w:r>
      <w:r>
        <w:rPr>
          <w:rFonts w:hint="eastAsia" w:ascii="宋体" w:hAnsi="宋体" w:cs="宋体"/>
          <w:szCs w:val="21"/>
          <w:u w:val="single"/>
        </w:rPr>
        <w:t>                                      </w:t>
      </w:r>
    </w:p>
    <w:p>
      <w:pPr>
        <w:widowControl/>
        <w:spacing w:line="360" w:lineRule="auto"/>
        <w:rPr>
          <w:rFonts w:ascii="宋体" w:hAnsi="宋体" w:cs="宋体"/>
          <w:b/>
          <w:bCs/>
          <w:szCs w:val="21"/>
        </w:rPr>
      </w:pPr>
    </w:p>
    <w:p>
      <w:pPr>
        <w:widowControl/>
        <w:spacing w:line="360" w:lineRule="auto"/>
        <w:rPr>
          <w:rFonts w:ascii="宋体" w:hAnsi="宋体" w:cs="宋体"/>
          <w:b/>
          <w:bCs/>
          <w:szCs w:val="21"/>
        </w:rPr>
      </w:pPr>
    </w:p>
    <w:p>
      <w:pPr>
        <w:spacing w:line="360" w:lineRule="auto"/>
        <w:rPr>
          <w:rFonts w:ascii="宋体" w:hAnsi="宋体" w:cs="宋体"/>
        </w:rPr>
      </w:pPr>
      <w:r>
        <w:rPr>
          <w:rFonts w:hint="eastAsia" w:ascii="宋体" w:hAnsi="宋体" w:cs="宋体"/>
        </w:rPr>
        <w:br w:type="page" w:clear="all"/>
      </w:r>
    </w:p>
    <w:p>
      <w:pPr>
        <w:pStyle w:val="204"/>
        <w:rPr>
          <w:rFonts w:ascii="宋体" w:hAnsi="宋体" w:cs="宋体"/>
        </w:rPr>
      </w:pPr>
      <w:bookmarkStart w:id="156" w:name="_Toc66375433"/>
      <w:bookmarkStart w:id="157" w:name="_Toc43917780"/>
      <w:r>
        <w:rPr>
          <w:rFonts w:hint="eastAsia" w:ascii="宋体" w:hAnsi="宋体" w:cs="宋体"/>
        </w:rPr>
        <w:t>附件十、企业声明函</w:t>
      </w:r>
      <w:bookmarkEnd w:id="156"/>
      <w:bookmarkEnd w:id="157"/>
    </w:p>
    <w:p>
      <w:pPr>
        <w:spacing w:line="360" w:lineRule="auto"/>
        <w:jc w:val="center"/>
        <w:rPr>
          <w:rFonts w:ascii="宋体" w:hAnsi="宋体" w:cs="宋体"/>
          <w:b/>
          <w:bCs/>
          <w:sz w:val="28"/>
          <w:szCs w:val="28"/>
        </w:rPr>
      </w:pPr>
      <w:bookmarkStart w:id="158" w:name="_Hlk84581158"/>
      <w:bookmarkStart w:id="159" w:name="OLE_LINK13"/>
      <w:bookmarkStart w:id="160" w:name="OLE_LINK14"/>
      <w:r>
        <w:rPr>
          <w:rFonts w:hint="eastAsia" w:ascii="宋体" w:hAnsi="宋体" w:cs="宋体"/>
          <w:b/>
          <w:bCs/>
          <w:sz w:val="28"/>
          <w:szCs w:val="28"/>
        </w:rPr>
        <w:t>中小企业声明函（工程、服务）</w:t>
      </w:r>
    </w:p>
    <w:p>
      <w:pPr>
        <w:widowControl/>
        <w:spacing w:line="440" w:lineRule="exact"/>
        <w:ind w:firstLine="420"/>
        <w:jc w:val="left"/>
        <w:rPr>
          <w:rFonts w:ascii="宋体" w:hAnsi="宋体" w:cs="宋体"/>
          <w:szCs w:val="21"/>
        </w:rPr>
      </w:pPr>
      <w:r>
        <w:rPr>
          <w:rFonts w:hint="eastAsia" w:ascii="宋体" w:hAnsi="宋体" w:cs="宋体"/>
        </w:rPr>
        <w:t>本公司（联合体）郑重声明，根据《政府采购促进中小企业发展管理办法》（财库〔2020 ） 46号）的规定，本公司 （联合体）参加</w:t>
      </w:r>
      <w:r>
        <w:rPr>
          <w:rFonts w:hint="eastAsia" w:ascii="宋体" w:hAnsi="宋体" w:cs="宋体"/>
          <w:u w:val="single"/>
        </w:rPr>
        <w:t>（单位名称）</w:t>
      </w:r>
      <w:r>
        <w:rPr>
          <w:rFonts w:hint="eastAsia" w:ascii="宋体" w:hAnsi="宋体" w:cs="宋体"/>
        </w:rPr>
        <w:t>的</w:t>
      </w:r>
      <w:r>
        <w:rPr>
          <w:rFonts w:hint="eastAsia" w:ascii="宋体" w:hAnsi="宋体" w:cs="宋体"/>
          <w:u w:val="single"/>
        </w:rPr>
        <w:t>（项目名称）</w:t>
      </w:r>
      <w:r>
        <w:rPr>
          <w:rFonts w:hint="eastAsia" w:ascii="宋体" w:hAnsi="宋体" w:cs="宋体"/>
        </w:rPr>
        <w:t>采购活动，工程的施工单位全部为符合政策要求的中小企业（或者：服务全部由符合政策要求的中小企业承接）。相关企业（含联合 体中的中小企业、签订分包意向协议的中小企业）的具体情况如下：</w:t>
      </w:r>
    </w:p>
    <w:p>
      <w:pPr>
        <w:widowControl/>
        <w:spacing w:line="440" w:lineRule="exact"/>
        <w:ind w:firstLine="420"/>
        <w:jc w:val="left"/>
        <w:rPr>
          <w:rFonts w:ascii="宋体" w:hAnsi="宋体" w:cs="宋体"/>
        </w:rPr>
      </w:pPr>
      <w:r>
        <w:rPr>
          <w:rFonts w:hint="eastAsia" w:ascii="宋体" w:hAnsi="宋体" w:cs="宋体"/>
        </w:rPr>
        <w:t>1.</w:t>
      </w:r>
      <w:r>
        <w:rPr>
          <w:rFonts w:hint="eastAsia" w:ascii="宋体" w:hAnsi="宋体" w:cs="宋体"/>
          <w:u w:val="single"/>
        </w:rPr>
        <w:t>（标的名称）</w:t>
      </w:r>
      <w:r>
        <w:rPr>
          <w:rFonts w:hint="eastAsia" w:ascii="宋体" w:hAnsi="宋体" w:cs="宋体"/>
        </w:rPr>
        <w:t>,属于</w:t>
      </w:r>
      <w:r>
        <w:rPr>
          <w:rFonts w:hint="eastAsia" w:ascii="宋体" w:hAnsi="宋体" w:cs="宋体"/>
          <w:u w:val="single"/>
        </w:rPr>
        <w:t>（采购文件中明确的所属行业）</w:t>
      </w:r>
      <w:r>
        <w:rPr>
          <w:rFonts w:hint="eastAsia" w:ascii="宋体" w:hAnsi="宋体" w:cs="宋体"/>
        </w:rPr>
        <w:t>, 承建（承接）企业为</w:t>
      </w:r>
      <w:r>
        <w:rPr>
          <w:rFonts w:hint="eastAsia" w:ascii="宋体" w:hAnsi="宋体" w:cs="宋体"/>
          <w:u w:val="single"/>
        </w:rPr>
        <w:t>（企业名称）</w:t>
      </w:r>
      <w:r>
        <w:rPr>
          <w:rFonts w:hint="eastAsia" w:ascii="宋体" w:hAnsi="宋体" w:cs="宋体"/>
        </w:rPr>
        <w:t>,从业人员</w:t>
      </w:r>
      <w:r>
        <w:rPr>
          <w:rFonts w:hint="eastAsia" w:ascii="宋体" w:hAnsi="宋体" w:cs="宋体"/>
          <w:u w:val="single"/>
        </w:rPr>
        <w:tab/>
      </w:r>
      <w:r>
        <w:rPr>
          <w:rFonts w:hint="eastAsia" w:ascii="宋体" w:hAnsi="宋体" w:cs="宋体"/>
          <w:u w:val="single"/>
        </w:rPr>
        <w:t>人</w:t>
      </w:r>
      <w:r>
        <w:rPr>
          <w:rFonts w:hint="eastAsia" w:ascii="宋体" w:hAnsi="宋体" w:cs="宋体"/>
        </w:rPr>
        <w:t>，营业收入为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万元，属于</w:t>
      </w:r>
      <w:r>
        <w:rPr>
          <w:rFonts w:hint="eastAsia" w:ascii="宋体" w:hAnsi="宋体" w:cs="宋体"/>
          <w:u w:val="single"/>
        </w:rPr>
        <w:t>（中型企业、小型企业、微型企业）</w:t>
      </w:r>
      <w:r>
        <w:rPr>
          <w:rFonts w:hint="eastAsia" w:ascii="宋体" w:hAnsi="宋体" w:cs="宋体"/>
        </w:rPr>
        <w:t>；</w:t>
      </w:r>
    </w:p>
    <w:p>
      <w:pPr>
        <w:widowControl/>
        <w:spacing w:line="440" w:lineRule="exact"/>
        <w:ind w:firstLine="420"/>
        <w:jc w:val="left"/>
        <w:rPr>
          <w:rFonts w:ascii="宋体" w:hAnsi="宋体" w:cs="宋体"/>
        </w:rPr>
      </w:pPr>
      <w:r>
        <w:rPr>
          <w:rFonts w:hint="eastAsia" w:ascii="宋体" w:hAnsi="宋体" w:cs="宋体"/>
        </w:rPr>
        <w:t>2.</w:t>
      </w:r>
      <w:r>
        <w:rPr>
          <w:rFonts w:hint="eastAsia" w:ascii="宋体" w:hAnsi="宋体" w:cs="宋体"/>
          <w:u w:val="single"/>
        </w:rPr>
        <w:t>（标的名称）,</w:t>
      </w:r>
      <w:r>
        <w:rPr>
          <w:rFonts w:hint="eastAsia" w:ascii="宋体" w:hAnsi="宋体" w:cs="宋体"/>
        </w:rPr>
        <w:t>属于</w:t>
      </w:r>
      <w:r>
        <w:rPr>
          <w:rFonts w:hint="eastAsia" w:ascii="宋体" w:hAnsi="宋体" w:cs="宋体"/>
          <w:u w:val="single"/>
        </w:rPr>
        <w:t>（采购文件中明确的所属行业）</w:t>
      </w:r>
      <w:r>
        <w:rPr>
          <w:rFonts w:hint="eastAsia" w:ascii="宋体" w:hAnsi="宋体" w:cs="宋体"/>
        </w:rPr>
        <w:t>, 承建（承接）企业为</w:t>
      </w:r>
      <w:r>
        <w:rPr>
          <w:rFonts w:hint="eastAsia" w:ascii="宋体" w:hAnsi="宋体" w:cs="宋体"/>
          <w:u w:val="single"/>
        </w:rPr>
        <w:t>（企业名称）</w:t>
      </w:r>
      <w:r>
        <w:rPr>
          <w:rFonts w:hint="eastAsia" w:ascii="宋体" w:hAnsi="宋体" w:cs="宋体"/>
        </w:rPr>
        <w:t>,从业人员</w:t>
      </w:r>
      <w:r>
        <w:rPr>
          <w:rFonts w:hint="eastAsia" w:ascii="宋体" w:hAnsi="宋体" w:cs="宋体"/>
          <w:u w:val="single"/>
        </w:rPr>
        <w:tab/>
      </w:r>
      <w:r>
        <w:rPr>
          <w:rFonts w:hint="eastAsia" w:ascii="宋体" w:hAnsi="宋体" w:cs="宋体"/>
          <w:u w:val="single"/>
        </w:rPr>
        <w:t>人</w:t>
      </w:r>
      <w:r>
        <w:rPr>
          <w:rFonts w:hint="eastAsia" w:ascii="宋体" w:hAnsi="宋体" w:cs="宋体"/>
        </w:rPr>
        <w:t>，营业收入为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万元，属于</w:t>
      </w:r>
      <w:r>
        <w:rPr>
          <w:rFonts w:hint="eastAsia" w:ascii="宋体" w:hAnsi="宋体" w:cs="宋体"/>
          <w:u w:val="single"/>
        </w:rPr>
        <w:t>（中型企业、小型企业、微型企业）</w:t>
      </w:r>
      <w:r>
        <w:rPr>
          <w:rFonts w:hint="eastAsia" w:ascii="宋体" w:hAnsi="宋体" w:cs="宋体"/>
        </w:rPr>
        <w:t>；</w:t>
      </w:r>
      <w:r>
        <w:rPr>
          <w:rFonts w:hint="eastAsia" w:ascii="宋体" w:hAnsi="宋体" w:cs="宋体"/>
        </w:rPr>
        <w:tab/>
      </w:r>
    </w:p>
    <w:p>
      <w:pPr>
        <w:widowControl/>
        <w:spacing w:line="440" w:lineRule="exact"/>
        <w:ind w:firstLine="420"/>
        <w:jc w:val="left"/>
        <w:rPr>
          <w:rFonts w:ascii="宋体" w:hAnsi="宋体" w:cs="宋体"/>
        </w:rPr>
      </w:pPr>
      <w:r>
        <w:rPr>
          <w:rFonts w:hint="eastAsia" w:ascii="宋体" w:hAnsi="宋体" w:cs="宋体"/>
        </w:rPr>
        <w:t>以上企业，不属于大企业的分支机构，不存在控股股东为大企业的情形，也不存在与大企业的负责人为同一人的情形。</w:t>
      </w:r>
    </w:p>
    <w:p>
      <w:pPr>
        <w:widowControl/>
        <w:spacing w:line="440" w:lineRule="exact"/>
        <w:ind w:firstLine="420"/>
        <w:jc w:val="left"/>
        <w:rPr>
          <w:rFonts w:ascii="宋体" w:hAnsi="宋体" w:cs="宋体"/>
        </w:rPr>
      </w:pPr>
      <w:r>
        <w:rPr>
          <w:rFonts w:hint="eastAsia" w:ascii="宋体" w:hAnsi="宋体" w:cs="宋体"/>
        </w:rPr>
        <w:t>本企业对上述声明内容的真实性负责。如有虚假，将依法承担相应责任。</w:t>
      </w:r>
    </w:p>
    <w:p>
      <w:pPr>
        <w:widowControl/>
        <w:spacing w:line="440" w:lineRule="exact"/>
        <w:ind w:firstLine="420"/>
        <w:jc w:val="right"/>
        <w:rPr>
          <w:rFonts w:ascii="宋体" w:hAnsi="宋体" w:cs="宋体"/>
        </w:rPr>
      </w:pPr>
      <w:r>
        <w:rPr>
          <w:rFonts w:hint="eastAsia" w:ascii="宋体" w:hAnsi="宋体" w:cs="宋体"/>
        </w:rPr>
        <w:t>企业名称：（加盖电子公章）</w:t>
      </w:r>
    </w:p>
    <w:p>
      <w:pPr>
        <w:widowControl/>
        <w:spacing w:line="440" w:lineRule="exact"/>
        <w:ind w:right="1890" w:firstLine="420"/>
        <w:jc w:val="right"/>
        <w:rPr>
          <w:rFonts w:ascii="宋体" w:hAnsi="宋体" w:cs="宋体"/>
        </w:rPr>
      </w:pPr>
      <w:r>
        <w:rPr>
          <w:rFonts w:hint="eastAsia" w:ascii="宋体" w:hAnsi="宋体" w:cs="宋体"/>
        </w:rPr>
        <w:t>日  期：</w:t>
      </w:r>
    </w:p>
    <w:bookmarkEnd w:id="158"/>
    <w:p>
      <w:pPr>
        <w:spacing w:line="360" w:lineRule="auto"/>
        <w:rPr>
          <w:rFonts w:ascii="宋体" w:hAnsi="宋体" w:cs="宋体"/>
          <w:b/>
          <w:bCs/>
          <w:sz w:val="28"/>
        </w:rPr>
      </w:pPr>
    </w:p>
    <w:p>
      <w:pPr>
        <w:spacing w:line="360" w:lineRule="auto"/>
        <w:jc w:val="center"/>
        <w:rPr>
          <w:rFonts w:ascii="宋体" w:hAnsi="宋体" w:cs="宋体"/>
          <w:b/>
          <w:bCs/>
          <w:sz w:val="28"/>
        </w:rPr>
      </w:pPr>
      <w:r>
        <w:rPr>
          <w:rFonts w:hint="eastAsia" w:ascii="宋体" w:hAnsi="宋体" w:cs="宋体"/>
          <w:b/>
          <w:bCs/>
          <w:sz w:val="28"/>
        </w:rPr>
        <w:t>残疾人福利性单位声明函</w:t>
      </w:r>
      <w:bookmarkEnd w:id="159"/>
      <w:bookmarkEnd w:id="160"/>
    </w:p>
    <w:p>
      <w:pPr>
        <w:widowControl/>
        <w:spacing w:line="440" w:lineRule="exact"/>
        <w:ind w:firstLine="420"/>
        <w:jc w:val="left"/>
        <w:rPr>
          <w:rFonts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40" w:lineRule="exact"/>
        <w:ind w:firstLine="420"/>
        <w:jc w:val="left"/>
        <w:rPr>
          <w:rFonts w:ascii="宋体" w:hAnsi="宋体" w:cs="宋体"/>
          <w:szCs w:val="21"/>
        </w:rPr>
      </w:pPr>
      <w:r>
        <w:rPr>
          <w:rFonts w:hint="eastAsia" w:ascii="宋体" w:hAnsi="宋体" w:cs="宋体"/>
          <w:szCs w:val="21"/>
        </w:rPr>
        <w:t>本单位对上述声明的真实性负责。如有虚假，将依法承担相应责任。</w:t>
      </w:r>
    </w:p>
    <w:p>
      <w:pPr>
        <w:widowControl/>
        <w:spacing w:line="440" w:lineRule="exact"/>
        <w:ind w:firstLine="6300"/>
        <w:jc w:val="left"/>
        <w:rPr>
          <w:rFonts w:ascii="宋体" w:hAnsi="宋体" w:cs="宋体"/>
          <w:szCs w:val="21"/>
        </w:rPr>
      </w:pPr>
      <w:r>
        <w:rPr>
          <w:rFonts w:hint="eastAsia" w:ascii="宋体" w:hAnsi="宋体" w:cs="宋体"/>
          <w:szCs w:val="21"/>
        </w:rPr>
        <w:t>单位名称：（加盖电子公章）</w:t>
      </w:r>
    </w:p>
    <w:p>
      <w:pPr>
        <w:widowControl/>
        <w:spacing w:line="440" w:lineRule="exact"/>
        <w:ind w:firstLine="6300"/>
        <w:jc w:val="left"/>
        <w:rPr>
          <w:rFonts w:ascii="宋体" w:hAnsi="宋体" w:cs="宋体"/>
          <w:szCs w:val="21"/>
        </w:rPr>
      </w:pPr>
      <w:r>
        <w:rPr>
          <w:rFonts w:hint="eastAsia" w:ascii="宋体" w:hAnsi="宋体" w:cs="宋体"/>
          <w:szCs w:val="21"/>
        </w:rPr>
        <w:t>日  期：</w:t>
      </w:r>
    </w:p>
    <w:p>
      <w:pPr>
        <w:spacing w:line="360" w:lineRule="auto"/>
        <w:rPr>
          <w:rFonts w:ascii="宋体" w:hAnsi="宋体" w:cs="宋体"/>
          <w:b/>
          <w:bCs/>
        </w:rPr>
      </w:pPr>
    </w:p>
    <w:p>
      <w:pPr>
        <w:spacing w:line="360" w:lineRule="auto"/>
        <w:jc w:val="center"/>
        <w:rPr>
          <w:rFonts w:ascii="宋体" w:hAnsi="宋体" w:cs="宋体"/>
          <w:b/>
          <w:bCs/>
          <w:sz w:val="28"/>
        </w:rPr>
      </w:pPr>
      <w:r>
        <w:rPr>
          <w:rFonts w:hint="eastAsia" w:ascii="宋体" w:hAnsi="宋体" w:cs="宋体"/>
          <w:b/>
          <w:bCs/>
          <w:sz w:val="28"/>
        </w:rPr>
        <w:t>属于监狱企业的证明文件</w:t>
      </w:r>
    </w:p>
    <w:p>
      <w:pPr>
        <w:spacing w:line="360" w:lineRule="auto"/>
        <w:rPr>
          <w:rFonts w:ascii="宋体" w:hAnsi="宋体" w:cs="宋体"/>
        </w:rPr>
      </w:pPr>
      <w:r>
        <w:rPr>
          <w:rFonts w:hint="eastAsia" w:ascii="宋体" w:hAnsi="宋体" w:cs="宋体"/>
        </w:rPr>
        <w:t>（提供由省级以上监狱管理局、戒毒管理局(含新疆生产建设兵团)出具的属于监狱企业的证明文件）</w:t>
      </w:r>
      <w:r>
        <w:rPr>
          <w:rFonts w:hint="eastAsia" w:ascii="宋体" w:hAnsi="宋体" w:cs="宋体"/>
        </w:rPr>
        <w:br w:type="page" w:clear="all"/>
      </w:r>
    </w:p>
    <w:p>
      <w:pPr>
        <w:pStyle w:val="204"/>
        <w:rPr>
          <w:rFonts w:ascii="宋体" w:hAnsi="宋体" w:cs="宋体"/>
        </w:rPr>
      </w:pPr>
      <w:bookmarkStart w:id="161" w:name="_Toc43917781"/>
      <w:bookmarkStart w:id="162" w:name="_Toc66375434"/>
      <w:r>
        <w:rPr>
          <w:rFonts w:hint="eastAsia" w:ascii="宋体" w:hAnsi="宋体" w:cs="宋体"/>
        </w:rPr>
        <w:t>附件十一、无重大违法记录声明</w:t>
      </w:r>
      <w:bookmarkEnd w:id="161"/>
      <w:bookmarkEnd w:id="162"/>
    </w:p>
    <w:p>
      <w:pPr>
        <w:spacing w:line="240" w:lineRule="atLeast"/>
        <w:jc w:val="center"/>
        <w:rPr>
          <w:rFonts w:ascii="宋体" w:hAnsi="宋体" w:cs="宋体"/>
          <w:sz w:val="28"/>
          <w:szCs w:val="36"/>
        </w:rPr>
      </w:pPr>
    </w:p>
    <w:p>
      <w:pPr>
        <w:spacing w:line="240" w:lineRule="atLeast"/>
        <w:jc w:val="center"/>
        <w:rPr>
          <w:rFonts w:ascii="宋体" w:hAnsi="宋体" w:cs="宋体"/>
          <w:b/>
          <w:bCs/>
          <w:sz w:val="32"/>
          <w:szCs w:val="32"/>
        </w:rPr>
      </w:pPr>
      <w:r>
        <w:rPr>
          <w:rFonts w:hint="eastAsia" w:ascii="宋体" w:hAnsi="宋体" w:cs="宋体"/>
          <w:b/>
          <w:bCs/>
          <w:sz w:val="32"/>
          <w:szCs w:val="32"/>
        </w:rPr>
        <w:t>无重大违法记录声明</w:t>
      </w:r>
    </w:p>
    <w:p>
      <w:pPr>
        <w:spacing w:line="360" w:lineRule="auto"/>
        <w:rPr>
          <w:rFonts w:ascii="宋体" w:hAnsi="宋体" w:cs="宋体"/>
          <w:szCs w:val="21"/>
        </w:rPr>
      </w:pPr>
    </w:p>
    <w:p>
      <w:pPr>
        <w:spacing w:line="360" w:lineRule="auto"/>
        <w:rPr>
          <w:rFonts w:ascii="宋体" w:hAnsi="宋体" w:cs="宋体"/>
          <w:szCs w:val="21"/>
        </w:rPr>
      </w:pPr>
      <w:r>
        <w:rPr>
          <w:rFonts w:hint="eastAsia" w:ascii="宋体" w:hAnsi="宋体" w:cs="宋体"/>
          <w:szCs w:val="21"/>
        </w:rPr>
        <w:t>致：江苏经贸职业技术学院</w:t>
      </w:r>
    </w:p>
    <w:p>
      <w:pPr>
        <w:spacing w:line="360" w:lineRule="auto"/>
        <w:ind w:firstLine="420"/>
        <w:rPr>
          <w:rFonts w:ascii="宋体" w:hAnsi="宋体" w:cs="宋体"/>
          <w:szCs w:val="21"/>
        </w:rPr>
      </w:pPr>
      <w:r>
        <w:rPr>
          <w:rFonts w:hint="eastAsia" w:ascii="宋体" w:hAnsi="宋体" w:cs="宋体"/>
          <w:szCs w:val="21"/>
        </w:rPr>
        <w:t>江苏益诚建设工程咨询有限公司</w:t>
      </w:r>
    </w:p>
    <w:p>
      <w:pPr>
        <w:spacing w:line="360" w:lineRule="auto"/>
        <w:ind w:firstLine="420"/>
        <w:rPr>
          <w:rFonts w:ascii="宋体" w:hAnsi="宋体" w:cs="宋体"/>
        </w:rPr>
      </w:pPr>
      <w:r>
        <w:rPr>
          <w:rFonts w:hint="eastAsia" w:ascii="宋体" w:hAnsi="宋体" w:cs="宋体"/>
        </w:rPr>
        <w:t>我单位</w:t>
      </w:r>
      <w:r>
        <w:rPr>
          <w:rFonts w:hint="eastAsia" w:ascii="宋体" w:hAnsi="宋体" w:cs="宋体"/>
          <w:u w:val="single"/>
        </w:rPr>
        <w:t xml:space="preserve">      </w:t>
      </w:r>
      <w:r>
        <w:rPr>
          <w:rFonts w:hint="eastAsia" w:ascii="宋体" w:hAnsi="宋体" w:cs="宋体"/>
        </w:rPr>
        <w:t>（投标人名称）郑重声明：</w:t>
      </w:r>
    </w:p>
    <w:p>
      <w:pPr>
        <w:spacing w:line="360" w:lineRule="auto"/>
        <w:ind w:firstLine="420"/>
        <w:rPr>
          <w:rFonts w:ascii="宋体" w:hAnsi="宋体" w:cs="宋体"/>
        </w:rPr>
      </w:pPr>
      <w:r>
        <w:rPr>
          <w:rFonts w:hint="eastAsia" w:ascii="宋体" w:hAnsi="宋体" w:cs="宋体"/>
        </w:rPr>
        <w:t>参加政府采购活动前3年内在经营活动中</w:t>
      </w:r>
      <w:r>
        <w:rPr>
          <w:rFonts w:hint="eastAsia" w:ascii="宋体" w:hAnsi="宋体" w:cs="宋体"/>
          <w:u w:val="single"/>
        </w:rPr>
        <w:t xml:space="preserve">         </w:t>
      </w:r>
      <w:r>
        <w:rPr>
          <w:rFonts w:hint="eastAsia" w:ascii="宋体" w:hAnsi="宋体" w:cs="宋体"/>
        </w:rPr>
        <w:t xml:space="preserve"> （在下划线上如实填写：有或没有）重大违法记录。</w:t>
      </w:r>
    </w:p>
    <w:p>
      <w:pPr>
        <w:spacing w:line="360" w:lineRule="auto"/>
        <w:ind w:firstLine="315"/>
        <w:rPr>
          <w:rFonts w:ascii="宋体" w:hAnsi="宋体" w:cs="宋体"/>
        </w:rPr>
      </w:pPr>
      <w:r>
        <w:rPr>
          <w:rFonts w:hint="eastAsia" w:ascii="宋体" w:hAnsi="宋体" w:cs="宋体"/>
        </w:rPr>
        <w:t>（说明：政府采购法第二十二条第一款第五项所称重大违法记录，是指投标人因违法经营受到刑事处罚或者责令停产停业、吊销许可证或者执照、较大数额罚款等行政处罚。）</w:t>
      </w:r>
    </w:p>
    <w:p>
      <w:pPr>
        <w:spacing w:line="360" w:lineRule="auto"/>
        <w:rPr>
          <w:rFonts w:ascii="宋体" w:hAnsi="宋体" w:cs="宋体"/>
        </w:rPr>
      </w:pPr>
    </w:p>
    <w:p>
      <w:pPr>
        <w:spacing w:line="360" w:lineRule="auto"/>
        <w:rPr>
          <w:rFonts w:ascii="宋体" w:hAnsi="宋体" w:cs="宋体"/>
        </w:rPr>
      </w:pPr>
    </w:p>
    <w:p>
      <w:pPr>
        <w:spacing w:line="360" w:lineRule="auto"/>
        <w:ind w:firstLine="5103"/>
        <w:rPr>
          <w:rFonts w:ascii="宋体" w:hAnsi="宋体" w:cs="宋体"/>
        </w:rPr>
      </w:pPr>
      <w:r>
        <w:rPr>
          <w:rFonts w:hint="eastAsia" w:ascii="宋体" w:hAnsi="宋体" w:cs="宋体"/>
        </w:rPr>
        <w:t>声明人： （加盖电子公章）</w:t>
      </w:r>
    </w:p>
    <w:p>
      <w:pPr>
        <w:spacing w:line="360" w:lineRule="auto"/>
        <w:ind w:firstLine="5040"/>
        <w:rPr>
          <w:rFonts w:ascii="宋体" w:hAnsi="宋体" w:cs="宋体"/>
          <w:szCs w:val="21"/>
          <w:lang w:val="zh-CN"/>
        </w:rPr>
      </w:pPr>
      <w:r>
        <w:rPr>
          <w:rFonts w:hint="eastAsia" w:ascii="宋体" w:hAnsi="宋体" w:cs="宋体"/>
          <w:szCs w:val="21"/>
          <w:lang w:val="zh-CN"/>
        </w:rPr>
        <w:t>日   期：    年   月  日</w:t>
      </w:r>
      <w:r>
        <w:rPr>
          <w:rFonts w:hint="eastAsia" w:ascii="宋体" w:hAnsi="宋体" w:cs="宋体"/>
          <w:szCs w:val="21"/>
          <w:lang w:val="zh-CN"/>
        </w:rPr>
        <w:br w:type="page" w:clear="all"/>
      </w:r>
    </w:p>
    <w:p>
      <w:pPr>
        <w:pStyle w:val="204"/>
        <w:rPr>
          <w:rFonts w:ascii="宋体" w:hAnsi="宋体" w:cs="宋体"/>
        </w:rPr>
      </w:pPr>
      <w:bookmarkStart w:id="163" w:name="_Toc1487"/>
      <w:r>
        <w:rPr>
          <w:rFonts w:hint="eastAsia" w:ascii="宋体" w:hAnsi="宋体" w:cs="宋体"/>
        </w:rPr>
        <w:t>附件十二、具有履行合同所必需的设备和专业技术能力的声明</w:t>
      </w:r>
      <w:bookmarkEnd w:id="163"/>
    </w:p>
    <w:p>
      <w:pPr>
        <w:spacing w:line="240" w:lineRule="atLeast"/>
        <w:jc w:val="center"/>
        <w:rPr>
          <w:rFonts w:ascii="宋体" w:hAnsi="宋体" w:cs="宋体"/>
          <w:b/>
          <w:bCs/>
          <w:sz w:val="32"/>
          <w:szCs w:val="32"/>
        </w:rPr>
      </w:pPr>
      <w:bookmarkStart w:id="164" w:name="_Toc3130"/>
    </w:p>
    <w:p>
      <w:pPr>
        <w:spacing w:line="240" w:lineRule="atLeast"/>
        <w:jc w:val="center"/>
        <w:rPr>
          <w:rFonts w:ascii="宋体" w:hAnsi="宋体" w:cs="宋体"/>
          <w:b/>
          <w:bCs/>
          <w:sz w:val="32"/>
          <w:szCs w:val="32"/>
        </w:rPr>
      </w:pPr>
      <w:r>
        <w:rPr>
          <w:rFonts w:hint="eastAsia" w:ascii="宋体" w:hAnsi="宋体" w:cs="宋体"/>
          <w:b/>
          <w:bCs/>
          <w:sz w:val="32"/>
          <w:szCs w:val="32"/>
        </w:rPr>
        <w:t>具有履行合同所必需的设备和专业技术能力的声明</w:t>
      </w:r>
      <w:bookmarkEnd w:id="164"/>
    </w:p>
    <w:p>
      <w:pPr>
        <w:spacing w:line="360" w:lineRule="auto"/>
        <w:rPr>
          <w:rFonts w:ascii="宋体" w:hAnsi="宋体" w:cs="宋体"/>
        </w:rPr>
      </w:pPr>
    </w:p>
    <w:p>
      <w:pPr>
        <w:spacing w:line="360" w:lineRule="auto"/>
        <w:rPr>
          <w:rFonts w:ascii="宋体" w:hAnsi="宋体" w:cs="宋体"/>
        </w:rPr>
      </w:pPr>
      <w:r>
        <w:rPr>
          <w:rFonts w:hint="eastAsia" w:ascii="宋体" w:hAnsi="宋体" w:cs="宋体"/>
        </w:rPr>
        <w:t>致：江苏经贸职业技术学院</w:t>
      </w:r>
    </w:p>
    <w:p>
      <w:pPr>
        <w:spacing w:line="360" w:lineRule="auto"/>
        <w:rPr>
          <w:rFonts w:ascii="宋体" w:hAnsi="宋体" w:cs="宋体"/>
        </w:rPr>
      </w:pPr>
      <w:r>
        <w:rPr>
          <w:rFonts w:hint="eastAsia" w:ascii="宋体" w:hAnsi="宋体" w:cs="宋体"/>
          <w:shd w:val="clear" w:color="auto" w:fill="FFFFFF"/>
          <w:lang w:val="zh-CN"/>
        </w:rPr>
        <w:t xml:space="preserve">    江苏益诚建设工程咨询有限公司</w:t>
      </w:r>
    </w:p>
    <w:p>
      <w:pPr>
        <w:spacing w:line="360" w:lineRule="auto"/>
        <w:ind w:firstLine="420"/>
        <w:rPr>
          <w:rFonts w:ascii="宋体" w:hAnsi="宋体" w:cs="宋体"/>
          <w:szCs w:val="21"/>
        </w:rPr>
      </w:pPr>
      <w:r>
        <w:rPr>
          <w:rFonts w:hint="eastAsia" w:ascii="宋体" w:hAnsi="宋体" w:cs="宋体"/>
          <w:szCs w:val="21"/>
        </w:rPr>
        <w:t>我单位</w:t>
      </w:r>
      <w:r>
        <w:rPr>
          <w:rFonts w:hint="eastAsia" w:ascii="宋体" w:hAnsi="宋体" w:cs="宋体"/>
          <w:szCs w:val="21"/>
          <w:u w:val="single"/>
        </w:rPr>
        <w:t xml:space="preserve">     </w:t>
      </w:r>
      <w:r>
        <w:rPr>
          <w:rFonts w:hint="eastAsia" w:ascii="宋体" w:hAnsi="宋体" w:cs="宋体"/>
          <w:szCs w:val="21"/>
        </w:rPr>
        <w:t>（投标人名称）郑重声明：</w:t>
      </w:r>
    </w:p>
    <w:p>
      <w:pPr>
        <w:spacing w:line="360" w:lineRule="auto"/>
        <w:ind w:firstLine="420"/>
        <w:rPr>
          <w:rFonts w:ascii="宋体" w:hAnsi="宋体" w:cs="宋体"/>
          <w:szCs w:val="21"/>
        </w:rPr>
      </w:pPr>
      <w:r>
        <w:rPr>
          <w:rFonts w:hint="eastAsia" w:ascii="宋体" w:hAnsi="宋体" w:cs="宋体"/>
          <w:szCs w:val="21"/>
        </w:rPr>
        <w:t>我单位具备履行本项采购合同所必需的设备和专业技术能力，为履行本项采购合同我单位具备如下主要设备和主要专业技术能力：</w:t>
      </w:r>
    </w:p>
    <w:p>
      <w:pPr>
        <w:spacing w:line="360" w:lineRule="auto"/>
        <w:ind w:firstLine="420"/>
        <w:rPr>
          <w:rFonts w:ascii="宋体" w:hAnsi="宋体" w:cs="宋体"/>
          <w:szCs w:val="21"/>
        </w:rPr>
      </w:pPr>
      <w:r>
        <w:rPr>
          <w:rFonts w:hint="eastAsia" w:ascii="宋体" w:hAnsi="宋体" w:cs="宋体"/>
          <w:szCs w:val="21"/>
        </w:rPr>
        <w:t>主要设备有：</w:t>
      </w:r>
      <w:r>
        <w:rPr>
          <w:rFonts w:hint="eastAsia" w:ascii="宋体" w:hAnsi="宋体" w:cs="宋体"/>
          <w:szCs w:val="21"/>
          <w:u w:val="single"/>
        </w:rPr>
        <w:t xml:space="preserve">             </w:t>
      </w:r>
      <w:r>
        <w:rPr>
          <w:rFonts w:hint="eastAsia" w:ascii="宋体" w:hAnsi="宋体" w:cs="宋体"/>
          <w:szCs w:val="21"/>
        </w:rPr>
        <w:t>。</w:t>
      </w:r>
    </w:p>
    <w:p>
      <w:pPr>
        <w:spacing w:line="360" w:lineRule="auto"/>
        <w:ind w:firstLine="420"/>
        <w:rPr>
          <w:rFonts w:ascii="宋体" w:hAnsi="宋体" w:cs="宋体"/>
          <w:szCs w:val="21"/>
        </w:rPr>
      </w:pPr>
      <w:r>
        <w:rPr>
          <w:rFonts w:hint="eastAsia" w:ascii="宋体" w:hAnsi="宋体" w:cs="宋体"/>
          <w:szCs w:val="21"/>
        </w:rPr>
        <w:t>主要专业技术能力有：</w:t>
      </w:r>
      <w:r>
        <w:rPr>
          <w:rFonts w:hint="eastAsia" w:ascii="宋体" w:hAnsi="宋体" w:cs="宋体"/>
          <w:szCs w:val="21"/>
          <w:u w:val="single"/>
        </w:rPr>
        <w:t xml:space="preserve">     </w:t>
      </w:r>
      <w:r>
        <w:rPr>
          <w:rFonts w:hint="eastAsia" w:ascii="宋体" w:hAnsi="宋体" w:cs="宋体"/>
          <w:szCs w:val="21"/>
        </w:rPr>
        <w:t>。</w:t>
      </w:r>
    </w:p>
    <w:p>
      <w:pPr>
        <w:spacing w:line="360" w:lineRule="auto"/>
        <w:ind w:firstLine="420"/>
        <w:rPr>
          <w:rFonts w:ascii="宋体" w:hAnsi="宋体" w:cs="宋体"/>
          <w:szCs w:val="21"/>
        </w:rPr>
      </w:pPr>
    </w:p>
    <w:p>
      <w:pPr>
        <w:spacing w:line="360" w:lineRule="auto"/>
        <w:ind w:left="6300"/>
        <w:jc w:val="left"/>
        <w:rPr>
          <w:rFonts w:ascii="宋体" w:hAnsi="宋体" w:cs="宋体"/>
          <w:szCs w:val="21"/>
        </w:rPr>
      </w:pPr>
      <w:r>
        <w:rPr>
          <w:rFonts w:hint="eastAsia" w:ascii="宋体" w:hAnsi="宋体" w:cs="宋体"/>
          <w:szCs w:val="21"/>
        </w:rPr>
        <w:t>声明人：（</w:t>
      </w:r>
      <w:r>
        <w:rPr>
          <w:rFonts w:hint="eastAsia" w:ascii="宋体" w:hAnsi="宋体" w:cs="宋体"/>
        </w:rPr>
        <w:t>加盖电子公章</w:t>
      </w:r>
      <w:r>
        <w:rPr>
          <w:rFonts w:hint="eastAsia" w:ascii="宋体" w:hAnsi="宋体" w:cs="宋体"/>
          <w:szCs w:val="21"/>
        </w:rPr>
        <w:t>）</w:t>
      </w:r>
    </w:p>
    <w:p>
      <w:pPr>
        <w:spacing w:line="360" w:lineRule="auto"/>
        <w:ind w:left="6300"/>
        <w:jc w:val="left"/>
        <w:rPr>
          <w:rFonts w:ascii="宋体" w:hAnsi="宋体" w:cs="宋体"/>
          <w:szCs w:val="21"/>
        </w:rPr>
      </w:pPr>
      <w:r>
        <w:rPr>
          <w:rFonts w:hint="eastAsia" w:ascii="宋体" w:hAnsi="宋体" w:cs="宋体"/>
          <w:szCs w:val="21"/>
        </w:rPr>
        <w:t>日期：  年  月  日</w:t>
      </w:r>
    </w:p>
    <w:p>
      <w:pPr>
        <w:spacing w:line="360" w:lineRule="auto"/>
        <w:ind w:firstLine="5040"/>
        <w:rPr>
          <w:rFonts w:ascii="宋体" w:hAnsi="宋体" w:cs="宋体"/>
          <w:szCs w:val="21"/>
          <w:lang w:val="zh-CN"/>
        </w:rPr>
      </w:pPr>
    </w:p>
    <w:p>
      <w:pPr>
        <w:spacing w:line="360" w:lineRule="auto"/>
        <w:rPr>
          <w:rFonts w:ascii="宋体" w:hAnsi="宋体" w:cs="宋体"/>
          <w:szCs w:val="21"/>
          <w:lang w:val="zh-CN"/>
        </w:rPr>
      </w:pPr>
    </w:p>
    <w:p>
      <w:pPr>
        <w:spacing w:line="360" w:lineRule="auto"/>
        <w:rPr>
          <w:rFonts w:ascii="宋体" w:hAnsi="宋体" w:cs="宋体"/>
          <w:szCs w:val="21"/>
          <w:lang w:val="zh-CN"/>
        </w:rPr>
      </w:pPr>
    </w:p>
    <w:p>
      <w:pPr>
        <w:spacing w:line="360" w:lineRule="auto"/>
        <w:rPr>
          <w:rFonts w:ascii="宋体" w:hAnsi="宋体" w:cs="宋体"/>
          <w:szCs w:val="21"/>
          <w:lang w:val="zh-CN"/>
        </w:rPr>
      </w:pPr>
    </w:p>
    <w:p>
      <w:pPr>
        <w:spacing w:line="360" w:lineRule="auto"/>
        <w:rPr>
          <w:rFonts w:ascii="宋体" w:hAnsi="宋体" w:cs="宋体"/>
          <w:szCs w:val="21"/>
          <w:lang w:val="zh-CN"/>
        </w:rPr>
      </w:pPr>
    </w:p>
    <w:p>
      <w:pPr>
        <w:spacing w:line="360" w:lineRule="auto"/>
        <w:rPr>
          <w:rFonts w:ascii="宋体" w:hAnsi="宋体" w:cs="宋体"/>
          <w:szCs w:val="21"/>
          <w:lang w:val="zh-CN"/>
        </w:rPr>
      </w:pPr>
    </w:p>
    <w:p>
      <w:pPr>
        <w:ind w:firstLine="420"/>
        <w:rPr>
          <w:rFonts w:ascii="宋体" w:hAnsi="宋体" w:cs="宋体"/>
        </w:rPr>
      </w:pPr>
    </w:p>
    <w:sectPr>
      <w:pgSz w:w="11906" w:h="16838"/>
      <w:pgMar w:top="1134" w:right="1134" w:bottom="1134" w:left="1134" w:header="850" w:footer="850"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KNLe">
    <w:altName w:val="Times New Roman"/>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5158638"/>
    </w:sdtPr>
    <w:sdtContent>
      <w:p>
        <w:pPr>
          <w:pStyle w:val="213"/>
          <w:jc w:val="center"/>
        </w:pPr>
        <w:r>
          <w:fldChar w:fldCharType="begin"/>
        </w:r>
        <w:r>
          <w:instrText xml:space="preserve">PAGE   \* MERGEFORMAT</w:instrText>
        </w:r>
        <w:r>
          <w:fldChar w:fldCharType="separate"/>
        </w:r>
        <w:r>
          <w:rPr>
            <w:lang w:val="zh-CN"/>
          </w:rPr>
          <w:t>1</w:t>
        </w:r>
        <w:r>
          <w:rPr>
            <w:lang w:val="zh-CN"/>
          </w:rPr>
          <w:fldChar w:fldCharType="end"/>
        </w:r>
      </w:p>
    </w:sdtContent>
  </w:sdt>
  <w:p>
    <w:pPr>
      <w:pStyle w:val="2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4"/>
      <w:tabs>
        <w:tab w:val="left" w:pos="444"/>
        <w:tab w:val="center" w:pos="4253"/>
      </w:tabs>
      <w:jc w:val="left"/>
    </w:pPr>
    <w:r>
      <w:pict>
        <v:shape id="_x0000_s4099" o:spid="_x0000_s4099" o:spt="75" type="#_x0000_t75" style="position:absolute;left:0pt;margin-left:0pt;margin-top:0pt;height:50pt;width:50pt;visibility:hidden;z-index:251659264;mso-width-relative:page;mso-height-relative:page;" filled="t" o:preferrelative="t" stroked="t" coordsize="21600,21600">
          <v:path/>
          <v:fill on="t" focussize="0,0"/>
          <v:stroke joinstyle="round"/>
          <v:imagedata o:title=""/>
          <o:lock v:ext="edit" selection="t" aspectratio="f"/>
        </v:shape>
      </w:pict>
    </w:r>
    <w:r>
      <w:pict>
        <v:shape id="_x0000_s4100" o:spid="_x0000_s4100" o:spt="75" type="#_x0000_t75" style="position:absolute;left:0pt;margin-left:0pt;margin-top:0pt;height:50pt;width:50pt;visibility:hidden;z-index:251660288;mso-width-relative:page;mso-height-relative:page;" filled="t" o:preferrelative="t" stroked="t" coordsize="21600,21600">
          <v:path/>
          <v:fill on="t" focussize="0,0"/>
          <v:stroke joinstyle="round"/>
          <v:imagedata o:title=""/>
          <o:lock v:ext="edit" selection="t" aspectratio="f"/>
        </v:shape>
      </w:pic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4"/>
      <w:jc w:val="both"/>
    </w:pPr>
    <w:r>
      <w:pict>
        <v:shape id="_x0000_s4097" o:spid="_x0000_s4097" o:spt="75" type="#_x0000_t75" style="position:absolute;left:0pt;margin-left:0pt;margin-top:0pt;height:50pt;width:50pt;visibility:hidden;z-index:251661312;mso-width-relative:page;mso-height-relative:page;" filled="t" o:preferrelative="t" stroked="t" coordsize="21600,21600">
          <v:path/>
          <v:fill on="t" focussize="0,0"/>
          <v:stroke joinstyle="round"/>
          <v:imagedata o:title=""/>
          <o:lock v:ext="edit" selection="t" aspectratio="f"/>
        </v:shape>
      </w:pict>
    </w:r>
    <w:r>
      <w:pict>
        <v:shape id="_x0000_s4098" o:spid="_x0000_s4098" o:spt="75" type="#_x0000_t75" style="position:absolute;left:0pt;margin-left:0pt;margin-top:0pt;height:50pt;width:50pt;visibility:hidden;z-index:251662336;mso-width-relative:page;mso-height-relative:page;" filled="t" o:preferrelative="t" stroked="t" coordsize="21600,21600">
          <v:path/>
          <v:fill on="t" focussize="0,0"/>
          <v:stroke joinstyle="round"/>
          <v:imagedata o:title=""/>
          <o:lock v:ext="edit" selection="t" aspectratio="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76C9A"/>
    <w:multiLevelType w:val="multilevel"/>
    <w:tmpl w:val="06F76C9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57"/>
      <w:lvlText w:val="%6."/>
      <w:lvlJc w:val="left"/>
      <w:pPr>
        <w:tabs>
          <w:tab w:val="left" w:pos="4320"/>
        </w:tabs>
        <w:ind w:left="4320" w:hanging="360"/>
      </w:pPr>
    </w:lvl>
    <w:lvl w:ilvl="6" w:tentative="0">
      <w:start w:val="1"/>
      <w:numFmt w:val="decimal"/>
      <w:pStyle w:val="358"/>
      <w:lvlText w:val="%7."/>
      <w:lvlJc w:val="left"/>
      <w:pPr>
        <w:tabs>
          <w:tab w:val="left" w:pos="5040"/>
        </w:tabs>
        <w:ind w:left="5040" w:hanging="360"/>
      </w:pPr>
    </w:lvl>
    <w:lvl w:ilvl="7" w:tentative="0">
      <w:start w:val="1"/>
      <w:numFmt w:val="decimal"/>
      <w:pStyle w:val="359"/>
      <w:lvlText w:val="%8."/>
      <w:lvlJc w:val="left"/>
      <w:pPr>
        <w:tabs>
          <w:tab w:val="left" w:pos="5760"/>
        </w:tabs>
        <w:ind w:left="5760" w:hanging="360"/>
      </w:pPr>
    </w:lvl>
    <w:lvl w:ilvl="8" w:tentative="0">
      <w:start w:val="1"/>
      <w:numFmt w:val="decimal"/>
      <w:pStyle w:val="360"/>
      <w:lvlText w:val="%9."/>
      <w:lvlJc w:val="left"/>
      <w:pPr>
        <w:tabs>
          <w:tab w:val="left" w:pos="6480"/>
        </w:tabs>
        <w:ind w:left="6480" w:hanging="360"/>
      </w:pPr>
    </w:lvl>
  </w:abstractNum>
  <w:abstractNum w:abstractNumId="1">
    <w:nsid w:val="20010A63"/>
    <w:multiLevelType w:val="multilevel"/>
    <w:tmpl w:val="20010A63"/>
    <w:lvl w:ilvl="0" w:tentative="0">
      <w:start w:val="1"/>
      <w:numFmt w:val="chineseCountingThousand"/>
      <w:pStyle w:val="234"/>
      <w:lvlText w:val="%1"/>
      <w:lvlJc w:val="left"/>
      <w:pPr>
        <w:ind w:left="425" w:hanging="425"/>
      </w:pPr>
      <w:rPr>
        <w:rFonts w:hint="eastAsia" w:ascii="Arial Unicode MS" w:hAnsi="Arial Unicode MS" w:eastAsia="微软雅黑"/>
        <w:b/>
        <w:i w:val="0"/>
        <w:lang w:val="en-US"/>
      </w:rPr>
    </w:lvl>
    <w:lvl w:ilvl="1" w:tentative="0">
      <w:start w:val="1"/>
      <w:numFmt w:val="decimal"/>
      <w:pStyle w:val="254"/>
      <w:isLgl/>
      <w:lvlText w:val="%1.%2"/>
      <w:lvlJc w:val="left"/>
      <w:pPr>
        <w:ind w:left="425" w:hanging="425"/>
      </w:pPr>
      <w:rPr>
        <w:rFonts w:hint="eastAsia" w:ascii="Arial Unicode MS" w:hAnsi="Arial Unicode MS" w:eastAsia="微软雅黑"/>
        <w:b/>
        <w:i w:val="0"/>
      </w:rPr>
    </w:lvl>
    <w:lvl w:ilvl="2" w:tentative="0">
      <w:start w:val="1"/>
      <w:numFmt w:val="decimal"/>
      <w:pStyle w:val="26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24FC09A5"/>
    <w:multiLevelType w:val="multilevel"/>
    <w:tmpl w:val="24FC09A5"/>
    <w:lvl w:ilvl="0" w:tentative="0">
      <w:start w:val="1"/>
      <w:numFmt w:val="chineseCountingThousand"/>
      <w:pStyle w:val="203"/>
      <w:suff w:val="nothing"/>
      <w:lvlText w:val="第%1章"/>
      <w:lvlJc w:val="left"/>
      <w:pPr>
        <w:ind w:left="567" w:firstLine="0"/>
      </w:pPr>
    </w:lvl>
    <w:lvl w:ilvl="1" w:tentative="0">
      <w:start w:val="1"/>
      <w:numFmt w:val="none"/>
      <w:pStyle w:val="204"/>
      <w:suff w:val="nothing"/>
      <w:lvlText w:val=""/>
      <w:lvlJc w:val="left"/>
      <w:pPr>
        <w:ind w:left="0" w:firstLine="0"/>
      </w:pPr>
    </w:lvl>
    <w:lvl w:ilvl="2" w:tentative="0">
      <w:start w:val="1"/>
      <w:numFmt w:val="none"/>
      <w:pStyle w:val="205"/>
      <w:suff w:val="nothing"/>
      <w:lvlText w:val=""/>
      <w:lvlJc w:val="left"/>
      <w:pPr>
        <w:ind w:left="0" w:firstLine="0"/>
      </w:pPr>
    </w:lvl>
    <w:lvl w:ilvl="3" w:tentative="0">
      <w:start w:val="1"/>
      <w:numFmt w:val="none"/>
      <w:pStyle w:val="206"/>
      <w:suff w:val="nothing"/>
      <w:lvlText w:val=""/>
      <w:lvlJc w:val="left"/>
      <w:pPr>
        <w:ind w:left="0" w:firstLine="0"/>
      </w:pPr>
    </w:lvl>
    <w:lvl w:ilvl="4" w:tentative="0">
      <w:start w:val="1"/>
      <w:numFmt w:val="none"/>
      <w:pStyle w:val="207"/>
      <w:suff w:val="nothing"/>
      <w:lvlText w:val=""/>
      <w:lvlJc w:val="left"/>
      <w:pPr>
        <w:ind w:left="0" w:firstLine="0"/>
      </w:pPr>
    </w:lvl>
    <w:lvl w:ilvl="5" w:tentative="0">
      <w:start w:val="1"/>
      <w:numFmt w:val="none"/>
      <w:pStyle w:val="208"/>
      <w:suff w:val="nothing"/>
      <w:lvlText w:val=""/>
      <w:lvlJc w:val="left"/>
      <w:pPr>
        <w:ind w:left="0" w:firstLine="0"/>
      </w:pPr>
    </w:lvl>
    <w:lvl w:ilvl="6" w:tentative="0">
      <w:start w:val="1"/>
      <w:numFmt w:val="none"/>
      <w:pStyle w:val="209"/>
      <w:suff w:val="nothing"/>
      <w:lvlText w:val=""/>
      <w:lvlJc w:val="left"/>
      <w:pPr>
        <w:ind w:left="0" w:firstLine="0"/>
      </w:pPr>
    </w:lvl>
    <w:lvl w:ilvl="7" w:tentative="0">
      <w:start w:val="1"/>
      <w:numFmt w:val="none"/>
      <w:pStyle w:val="210"/>
      <w:suff w:val="nothing"/>
      <w:lvlText w:val=""/>
      <w:lvlJc w:val="left"/>
      <w:pPr>
        <w:ind w:left="0" w:firstLine="0"/>
      </w:pPr>
    </w:lvl>
    <w:lvl w:ilvl="8" w:tentative="0">
      <w:start w:val="1"/>
      <w:numFmt w:val="none"/>
      <w:pStyle w:val="211"/>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MDE3OTA4NzQ0OGE1MGYwYjNlYjUwM2ZiYmFiM2RmNTIifQ=="/>
  </w:docVars>
  <w:rsids>
    <w:rsidRoot w:val="00015573"/>
    <w:rsid w:val="00000EEA"/>
    <w:rsid w:val="00015573"/>
    <w:rsid w:val="00021666"/>
    <w:rsid w:val="000428B4"/>
    <w:rsid w:val="000434A7"/>
    <w:rsid w:val="00046F10"/>
    <w:rsid w:val="00060E21"/>
    <w:rsid w:val="00064342"/>
    <w:rsid w:val="00080798"/>
    <w:rsid w:val="00080BF8"/>
    <w:rsid w:val="000B0E3B"/>
    <w:rsid w:val="000B3AFF"/>
    <w:rsid w:val="000B3DB6"/>
    <w:rsid w:val="000B7B04"/>
    <w:rsid w:val="000D0CBD"/>
    <w:rsid w:val="000D65FD"/>
    <w:rsid w:val="000E3EC5"/>
    <w:rsid w:val="000E677A"/>
    <w:rsid w:val="001131C1"/>
    <w:rsid w:val="00115E3A"/>
    <w:rsid w:val="00116260"/>
    <w:rsid w:val="00120C85"/>
    <w:rsid w:val="0012174D"/>
    <w:rsid w:val="001459E3"/>
    <w:rsid w:val="00147418"/>
    <w:rsid w:val="001508AB"/>
    <w:rsid w:val="00153FAC"/>
    <w:rsid w:val="00155E9E"/>
    <w:rsid w:val="00157AC0"/>
    <w:rsid w:val="00176132"/>
    <w:rsid w:val="001805E5"/>
    <w:rsid w:val="00182380"/>
    <w:rsid w:val="00182BC4"/>
    <w:rsid w:val="00183543"/>
    <w:rsid w:val="001959D2"/>
    <w:rsid w:val="001B001B"/>
    <w:rsid w:val="001B0A13"/>
    <w:rsid w:val="001C3BB1"/>
    <w:rsid w:val="001D2A1F"/>
    <w:rsid w:val="001D7BD0"/>
    <w:rsid w:val="001F1C2C"/>
    <w:rsid w:val="001F5265"/>
    <w:rsid w:val="001F6DE8"/>
    <w:rsid w:val="001F7D28"/>
    <w:rsid w:val="00201196"/>
    <w:rsid w:val="00201805"/>
    <w:rsid w:val="00212D1E"/>
    <w:rsid w:val="00214C22"/>
    <w:rsid w:val="00216FC4"/>
    <w:rsid w:val="0022241C"/>
    <w:rsid w:val="00234192"/>
    <w:rsid w:val="002429B6"/>
    <w:rsid w:val="0025015C"/>
    <w:rsid w:val="00272692"/>
    <w:rsid w:val="00273303"/>
    <w:rsid w:val="00280D70"/>
    <w:rsid w:val="0029576A"/>
    <w:rsid w:val="002B2BA0"/>
    <w:rsid w:val="002C6DEA"/>
    <w:rsid w:val="002D0CD5"/>
    <w:rsid w:val="002D3522"/>
    <w:rsid w:val="002E599D"/>
    <w:rsid w:val="002E66B4"/>
    <w:rsid w:val="002F0688"/>
    <w:rsid w:val="002F29E1"/>
    <w:rsid w:val="002F36CE"/>
    <w:rsid w:val="002F4457"/>
    <w:rsid w:val="00307404"/>
    <w:rsid w:val="00314F3E"/>
    <w:rsid w:val="00317F30"/>
    <w:rsid w:val="003319F5"/>
    <w:rsid w:val="0033372B"/>
    <w:rsid w:val="00336DAF"/>
    <w:rsid w:val="00341140"/>
    <w:rsid w:val="00341569"/>
    <w:rsid w:val="00341D24"/>
    <w:rsid w:val="00344067"/>
    <w:rsid w:val="003559AD"/>
    <w:rsid w:val="003701B2"/>
    <w:rsid w:val="00372469"/>
    <w:rsid w:val="00373F87"/>
    <w:rsid w:val="00376E57"/>
    <w:rsid w:val="00376E8F"/>
    <w:rsid w:val="00380762"/>
    <w:rsid w:val="00382BC5"/>
    <w:rsid w:val="00387531"/>
    <w:rsid w:val="00392C15"/>
    <w:rsid w:val="00394278"/>
    <w:rsid w:val="00396B76"/>
    <w:rsid w:val="003A02F5"/>
    <w:rsid w:val="003A0A38"/>
    <w:rsid w:val="003A2CFB"/>
    <w:rsid w:val="003A3862"/>
    <w:rsid w:val="003C11DC"/>
    <w:rsid w:val="003D6799"/>
    <w:rsid w:val="003E1A7D"/>
    <w:rsid w:val="003E7BA7"/>
    <w:rsid w:val="003F0C83"/>
    <w:rsid w:val="003F143E"/>
    <w:rsid w:val="003F7CDD"/>
    <w:rsid w:val="0040316A"/>
    <w:rsid w:val="0041790C"/>
    <w:rsid w:val="004224F0"/>
    <w:rsid w:val="004519E2"/>
    <w:rsid w:val="004701A5"/>
    <w:rsid w:val="004804F0"/>
    <w:rsid w:val="004811CC"/>
    <w:rsid w:val="00483C14"/>
    <w:rsid w:val="00484424"/>
    <w:rsid w:val="00487206"/>
    <w:rsid w:val="004919B1"/>
    <w:rsid w:val="00493D31"/>
    <w:rsid w:val="004B70AF"/>
    <w:rsid w:val="004C5551"/>
    <w:rsid w:val="004E1086"/>
    <w:rsid w:val="004F4AA8"/>
    <w:rsid w:val="00506E21"/>
    <w:rsid w:val="005150D4"/>
    <w:rsid w:val="00520D58"/>
    <w:rsid w:val="00526B59"/>
    <w:rsid w:val="005328C6"/>
    <w:rsid w:val="005328FE"/>
    <w:rsid w:val="00533B2A"/>
    <w:rsid w:val="005567A9"/>
    <w:rsid w:val="00596701"/>
    <w:rsid w:val="005971EC"/>
    <w:rsid w:val="005E1E45"/>
    <w:rsid w:val="005E25B3"/>
    <w:rsid w:val="005E6541"/>
    <w:rsid w:val="005E73B4"/>
    <w:rsid w:val="005F071B"/>
    <w:rsid w:val="00603CB7"/>
    <w:rsid w:val="00604547"/>
    <w:rsid w:val="0060485C"/>
    <w:rsid w:val="00607B2F"/>
    <w:rsid w:val="00611864"/>
    <w:rsid w:val="006340C9"/>
    <w:rsid w:val="00634F8E"/>
    <w:rsid w:val="0064739A"/>
    <w:rsid w:val="00651AF8"/>
    <w:rsid w:val="00660BE3"/>
    <w:rsid w:val="00662B0A"/>
    <w:rsid w:val="006B0516"/>
    <w:rsid w:val="006C3720"/>
    <w:rsid w:val="006C39C5"/>
    <w:rsid w:val="006D07F0"/>
    <w:rsid w:val="006E3A28"/>
    <w:rsid w:val="006F4F98"/>
    <w:rsid w:val="007228B1"/>
    <w:rsid w:val="00725C69"/>
    <w:rsid w:val="00734985"/>
    <w:rsid w:val="00740919"/>
    <w:rsid w:val="00745FB9"/>
    <w:rsid w:val="00752FD1"/>
    <w:rsid w:val="00754767"/>
    <w:rsid w:val="007550DA"/>
    <w:rsid w:val="0075578C"/>
    <w:rsid w:val="00766C97"/>
    <w:rsid w:val="00772B15"/>
    <w:rsid w:val="007B18ED"/>
    <w:rsid w:val="007B62B0"/>
    <w:rsid w:val="007C5CB7"/>
    <w:rsid w:val="007C6C79"/>
    <w:rsid w:val="007E257E"/>
    <w:rsid w:val="007E7F8A"/>
    <w:rsid w:val="007F0E46"/>
    <w:rsid w:val="008072EF"/>
    <w:rsid w:val="0081198D"/>
    <w:rsid w:val="008218B3"/>
    <w:rsid w:val="008235B8"/>
    <w:rsid w:val="00824984"/>
    <w:rsid w:val="0083702E"/>
    <w:rsid w:val="00850C4F"/>
    <w:rsid w:val="008525B9"/>
    <w:rsid w:val="00866528"/>
    <w:rsid w:val="00870DE4"/>
    <w:rsid w:val="0089063B"/>
    <w:rsid w:val="008A51B4"/>
    <w:rsid w:val="008B09AD"/>
    <w:rsid w:val="008B55C0"/>
    <w:rsid w:val="008C1DC3"/>
    <w:rsid w:val="008C3659"/>
    <w:rsid w:val="008C6D86"/>
    <w:rsid w:val="008D077B"/>
    <w:rsid w:val="008D09B6"/>
    <w:rsid w:val="008D321D"/>
    <w:rsid w:val="008E7333"/>
    <w:rsid w:val="008F340D"/>
    <w:rsid w:val="00912044"/>
    <w:rsid w:val="009241B6"/>
    <w:rsid w:val="0092494E"/>
    <w:rsid w:val="00925E50"/>
    <w:rsid w:val="00933575"/>
    <w:rsid w:val="0094068E"/>
    <w:rsid w:val="00953123"/>
    <w:rsid w:val="00953E19"/>
    <w:rsid w:val="00955460"/>
    <w:rsid w:val="00964FBD"/>
    <w:rsid w:val="00972D87"/>
    <w:rsid w:val="00973542"/>
    <w:rsid w:val="00995F88"/>
    <w:rsid w:val="009A4B11"/>
    <w:rsid w:val="009B550D"/>
    <w:rsid w:val="009C46C1"/>
    <w:rsid w:val="009D07A5"/>
    <w:rsid w:val="009D2D6F"/>
    <w:rsid w:val="009D689A"/>
    <w:rsid w:val="009D78A4"/>
    <w:rsid w:val="009E222C"/>
    <w:rsid w:val="009E2436"/>
    <w:rsid w:val="009F7895"/>
    <w:rsid w:val="00A17684"/>
    <w:rsid w:val="00A27C22"/>
    <w:rsid w:val="00A41A9A"/>
    <w:rsid w:val="00A6573C"/>
    <w:rsid w:val="00A66DBF"/>
    <w:rsid w:val="00A9149B"/>
    <w:rsid w:val="00A97574"/>
    <w:rsid w:val="00AA2BCF"/>
    <w:rsid w:val="00AA3271"/>
    <w:rsid w:val="00AA3A83"/>
    <w:rsid w:val="00AC0015"/>
    <w:rsid w:val="00AD27BF"/>
    <w:rsid w:val="00AD7476"/>
    <w:rsid w:val="00AE0DFA"/>
    <w:rsid w:val="00AE7725"/>
    <w:rsid w:val="00AF2D45"/>
    <w:rsid w:val="00B00CFD"/>
    <w:rsid w:val="00B06046"/>
    <w:rsid w:val="00B220E9"/>
    <w:rsid w:val="00B22238"/>
    <w:rsid w:val="00B23027"/>
    <w:rsid w:val="00B25103"/>
    <w:rsid w:val="00B37D54"/>
    <w:rsid w:val="00B43FE0"/>
    <w:rsid w:val="00B560DC"/>
    <w:rsid w:val="00B62756"/>
    <w:rsid w:val="00BA0E0D"/>
    <w:rsid w:val="00BA11AC"/>
    <w:rsid w:val="00BB21D6"/>
    <w:rsid w:val="00BB7E4B"/>
    <w:rsid w:val="00BE0352"/>
    <w:rsid w:val="00BE0673"/>
    <w:rsid w:val="00BE36AC"/>
    <w:rsid w:val="00BF36D7"/>
    <w:rsid w:val="00BF53CA"/>
    <w:rsid w:val="00C13755"/>
    <w:rsid w:val="00C20E91"/>
    <w:rsid w:val="00C237E7"/>
    <w:rsid w:val="00C2648F"/>
    <w:rsid w:val="00C42298"/>
    <w:rsid w:val="00C50856"/>
    <w:rsid w:val="00C52A79"/>
    <w:rsid w:val="00C546B2"/>
    <w:rsid w:val="00C55538"/>
    <w:rsid w:val="00C60C28"/>
    <w:rsid w:val="00C67B73"/>
    <w:rsid w:val="00C825D6"/>
    <w:rsid w:val="00C93445"/>
    <w:rsid w:val="00C95B3D"/>
    <w:rsid w:val="00C97F03"/>
    <w:rsid w:val="00CA57E4"/>
    <w:rsid w:val="00CB105E"/>
    <w:rsid w:val="00CC1693"/>
    <w:rsid w:val="00CD020F"/>
    <w:rsid w:val="00D26AB5"/>
    <w:rsid w:val="00D36315"/>
    <w:rsid w:val="00D634BF"/>
    <w:rsid w:val="00D63D25"/>
    <w:rsid w:val="00D72D9B"/>
    <w:rsid w:val="00D7367F"/>
    <w:rsid w:val="00D771E7"/>
    <w:rsid w:val="00D81959"/>
    <w:rsid w:val="00D91D58"/>
    <w:rsid w:val="00D92469"/>
    <w:rsid w:val="00DB0A2F"/>
    <w:rsid w:val="00DB1E85"/>
    <w:rsid w:val="00DC257F"/>
    <w:rsid w:val="00DC4353"/>
    <w:rsid w:val="00DC6919"/>
    <w:rsid w:val="00DD125E"/>
    <w:rsid w:val="00DD37F2"/>
    <w:rsid w:val="00DE2F57"/>
    <w:rsid w:val="00DE5DF8"/>
    <w:rsid w:val="00DE7254"/>
    <w:rsid w:val="00DF29F8"/>
    <w:rsid w:val="00DF630B"/>
    <w:rsid w:val="00E0014D"/>
    <w:rsid w:val="00E01977"/>
    <w:rsid w:val="00E07021"/>
    <w:rsid w:val="00E078CE"/>
    <w:rsid w:val="00E11AFE"/>
    <w:rsid w:val="00E151D5"/>
    <w:rsid w:val="00E15B5F"/>
    <w:rsid w:val="00E16B43"/>
    <w:rsid w:val="00E17551"/>
    <w:rsid w:val="00E2315A"/>
    <w:rsid w:val="00E27EE5"/>
    <w:rsid w:val="00E349FA"/>
    <w:rsid w:val="00E41006"/>
    <w:rsid w:val="00E41EE3"/>
    <w:rsid w:val="00E43CFE"/>
    <w:rsid w:val="00E45B68"/>
    <w:rsid w:val="00E471F1"/>
    <w:rsid w:val="00E53490"/>
    <w:rsid w:val="00E538D8"/>
    <w:rsid w:val="00E568B3"/>
    <w:rsid w:val="00E65A29"/>
    <w:rsid w:val="00E7228A"/>
    <w:rsid w:val="00E760B4"/>
    <w:rsid w:val="00E766CB"/>
    <w:rsid w:val="00E80703"/>
    <w:rsid w:val="00E90F59"/>
    <w:rsid w:val="00E92629"/>
    <w:rsid w:val="00E9323A"/>
    <w:rsid w:val="00EA0BE0"/>
    <w:rsid w:val="00EA0D22"/>
    <w:rsid w:val="00EA12AA"/>
    <w:rsid w:val="00EA562B"/>
    <w:rsid w:val="00EC0CEA"/>
    <w:rsid w:val="00EC4314"/>
    <w:rsid w:val="00EC4CC5"/>
    <w:rsid w:val="00EC4DB7"/>
    <w:rsid w:val="00EF1CEF"/>
    <w:rsid w:val="00EF37BE"/>
    <w:rsid w:val="00EF3A7F"/>
    <w:rsid w:val="00EF6FA6"/>
    <w:rsid w:val="00F13CD7"/>
    <w:rsid w:val="00F21861"/>
    <w:rsid w:val="00F24F5B"/>
    <w:rsid w:val="00F32C2B"/>
    <w:rsid w:val="00F4577B"/>
    <w:rsid w:val="00F52DAB"/>
    <w:rsid w:val="00F77B61"/>
    <w:rsid w:val="00F94B07"/>
    <w:rsid w:val="00FA01E3"/>
    <w:rsid w:val="00FA3E0B"/>
    <w:rsid w:val="00FC3EB2"/>
    <w:rsid w:val="00FC3F9A"/>
    <w:rsid w:val="00FC61E4"/>
    <w:rsid w:val="00FD4CF3"/>
    <w:rsid w:val="00FE46EF"/>
    <w:rsid w:val="00FF22EE"/>
    <w:rsid w:val="00FF34F8"/>
    <w:rsid w:val="01E35108"/>
    <w:rsid w:val="081859DF"/>
    <w:rsid w:val="11292A0B"/>
    <w:rsid w:val="1654444A"/>
    <w:rsid w:val="16F078EA"/>
    <w:rsid w:val="194A6978"/>
    <w:rsid w:val="1A016C3E"/>
    <w:rsid w:val="21F93C87"/>
    <w:rsid w:val="27E31AFF"/>
    <w:rsid w:val="2BF70D87"/>
    <w:rsid w:val="343468C1"/>
    <w:rsid w:val="3BF60CE0"/>
    <w:rsid w:val="5FDE3BAD"/>
    <w:rsid w:val="610C1348"/>
    <w:rsid w:val="660E4EA0"/>
    <w:rsid w:val="77C63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6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69"/>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70"/>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366"/>
    <w:unhideWhenUsed/>
    <w:qFormat/>
    <w:uiPriority w:val="0"/>
    <w:pPr>
      <w:keepNext/>
      <w:keepLines/>
      <w:spacing w:before="280" w:after="290" w:line="376" w:lineRule="auto"/>
      <w:outlineLvl w:val="3"/>
    </w:pPr>
    <w:rPr>
      <w:rFonts w:asciiTheme="majorHAnsi" w:hAnsiTheme="majorHAnsi" w:eastAsiaTheme="majorEastAsia" w:cstheme="majorBidi"/>
      <w:b/>
      <w:bCs/>
      <w:kern w:val="2"/>
      <w:sz w:val="28"/>
      <w:szCs w:val="28"/>
    </w:rPr>
  </w:style>
  <w:style w:type="character" w:default="1" w:styleId="46">
    <w:name w:val="Default Paragraph Font"/>
    <w:semiHidden/>
    <w:unhideWhenUsed/>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6">
    <w:name w:val="List 3"/>
    <w:basedOn w:val="1"/>
    <w:unhideWhenUsed/>
    <w:qFormat/>
    <w:uiPriority w:val="99"/>
    <w:pPr>
      <w:spacing w:before="100" w:beforeAutospacing="1" w:after="100" w:afterAutospacing="1"/>
      <w:ind w:left="1260" w:hanging="420"/>
    </w:pPr>
    <w:rPr>
      <w:szCs w:val="21"/>
    </w:rPr>
  </w:style>
  <w:style w:type="paragraph" w:styleId="7">
    <w:name w:val="toc 7"/>
    <w:basedOn w:val="1"/>
    <w:next w:val="1"/>
    <w:unhideWhenUsed/>
    <w:qFormat/>
    <w:uiPriority w:val="39"/>
    <w:pPr>
      <w:ind w:left="2520"/>
    </w:pPr>
    <w:rPr>
      <w:rFonts w:ascii="Calibri" w:hAnsi="Calibri"/>
      <w:szCs w:val="22"/>
    </w:rPr>
  </w:style>
  <w:style w:type="paragraph" w:styleId="8">
    <w:name w:val="Normal Indent"/>
    <w:basedOn w:val="1"/>
    <w:link w:val="361"/>
    <w:qFormat/>
    <w:uiPriority w:val="0"/>
    <w:pPr>
      <w:ind w:firstLine="420"/>
    </w:pPr>
    <w:rPr>
      <w:b/>
      <w:sz w:val="24"/>
      <w:szCs w:val="20"/>
    </w:rPr>
  </w:style>
  <w:style w:type="paragraph" w:styleId="9">
    <w:name w:val="Document Map"/>
    <w:basedOn w:val="1"/>
    <w:link w:val="299"/>
    <w:qFormat/>
    <w:uiPriority w:val="0"/>
    <w:rPr>
      <w:rFonts w:ascii="宋体"/>
      <w:sz w:val="18"/>
      <w:szCs w:val="18"/>
    </w:rPr>
  </w:style>
  <w:style w:type="paragraph" w:styleId="10">
    <w:name w:val="annotation text"/>
    <w:basedOn w:val="1"/>
    <w:link w:val="320"/>
    <w:qFormat/>
    <w:uiPriority w:val="99"/>
    <w:pPr>
      <w:jc w:val="left"/>
    </w:pPr>
  </w:style>
  <w:style w:type="paragraph" w:styleId="11">
    <w:name w:val="Body Text 3"/>
    <w:basedOn w:val="1"/>
    <w:link w:val="337"/>
    <w:qFormat/>
    <w:uiPriority w:val="0"/>
    <w:rPr>
      <w:rFonts w:ascii="宋体"/>
      <w:sz w:val="24"/>
      <w:szCs w:val="20"/>
    </w:rPr>
  </w:style>
  <w:style w:type="paragraph" w:styleId="12">
    <w:name w:val="Body Text"/>
    <w:basedOn w:val="1"/>
    <w:next w:val="13"/>
    <w:link w:val="326"/>
    <w:qFormat/>
    <w:uiPriority w:val="0"/>
    <w:pPr>
      <w:jc w:val="center"/>
    </w:pPr>
    <w:rPr>
      <w:rFonts w:eastAsia="幼圆"/>
      <w:b/>
      <w:bCs/>
      <w:sz w:val="44"/>
    </w:rPr>
  </w:style>
  <w:style w:type="paragraph" w:customStyle="1" w:styleId="13">
    <w:name w:val="一级条标题"/>
    <w:basedOn w:val="14"/>
    <w:next w:val="15"/>
    <w:qFormat/>
    <w:uiPriority w:val="0"/>
    <w:pPr>
      <w:tabs>
        <w:tab w:val="left" w:pos="810"/>
        <w:tab w:val="left" w:pos="907"/>
        <w:tab w:val="left" w:pos="1265"/>
      </w:tabs>
      <w:ind w:left="907" w:hanging="907"/>
      <w:outlineLvl w:val="2"/>
    </w:pPr>
    <w:rPr>
      <w:rFonts w:hAnsi="宋体"/>
    </w:rPr>
  </w:style>
  <w:style w:type="paragraph" w:customStyle="1" w:styleId="14">
    <w:name w:val="章标题"/>
    <w:next w:val="1"/>
    <w:qFormat/>
    <w:uiPriority w:val="0"/>
    <w:pPr>
      <w:tabs>
        <w:tab w:val="left" w:pos="810"/>
        <w:tab w:val="left" w:pos="1265"/>
      </w:tabs>
      <w:spacing w:before="50" w:after="50"/>
      <w:ind w:left="810" w:hanging="810"/>
      <w:jc w:val="both"/>
      <w:outlineLvl w:val="1"/>
    </w:pPr>
    <w:rPr>
      <w:rFonts w:ascii="黑体" w:hAnsi="Calibri" w:eastAsia="黑体" w:cs="等线"/>
      <w:sz w:val="21"/>
      <w:szCs w:val="22"/>
      <w:lang w:val="en-US" w:eastAsia="zh-CN" w:bidi="ar-SA"/>
    </w:rPr>
  </w:style>
  <w:style w:type="paragraph" w:customStyle="1" w:styleId="15">
    <w:name w:val="段"/>
    <w:next w:val="1"/>
    <w:qFormat/>
    <w:uiPriority w:val="0"/>
    <w:pPr>
      <w:widowControl w:val="0"/>
      <w:ind w:firstLine="200"/>
      <w:jc w:val="both"/>
    </w:pPr>
    <w:rPr>
      <w:rFonts w:ascii="宋体" w:hAnsi="宋体" w:eastAsia="等线" w:cs="宋体"/>
      <w:color w:val="000000"/>
      <w:sz w:val="21"/>
      <w:szCs w:val="21"/>
      <w:lang w:val="en-US" w:eastAsia="zh-CN" w:bidi="ar-SA"/>
    </w:rPr>
  </w:style>
  <w:style w:type="paragraph" w:styleId="16">
    <w:name w:val="Body Text Indent"/>
    <w:basedOn w:val="1"/>
    <w:link w:val="288"/>
    <w:qFormat/>
    <w:uiPriority w:val="0"/>
    <w:pPr>
      <w:spacing w:after="120"/>
      <w:ind w:left="420"/>
    </w:pPr>
  </w:style>
  <w:style w:type="paragraph" w:styleId="17">
    <w:name w:val="index 4"/>
    <w:basedOn w:val="1"/>
    <w:next w:val="1"/>
    <w:qFormat/>
    <w:uiPriority w:val="0"/>
    <w:pPr>
      <w:ind w:left="600"/>
    </w:pPr>
    <w:rPr>
      <w:rFonts w:ascii="Calibri" w:hAnsi="Calibri"/>
    </w:rPr>
  </w:style>
  <w:style w:type="paragraph" w:styleId="18">
    <w:name w:val="toc 5"/>
    <w:basedOn w:val="1"/>
    <w:next w:val="1"/>
    <w:unhideWhenUsed/>
    <w:qFormat/>
    <w:uiPriority w:val="39"/>
    <w:pPr>
      <w:ind w:left="1680"/>
    </w:pPr>
    <w:rPr>
      <w:rFonts w:ascii="Calibri" w:hAnsi="Calibri"/>
      <w:szCs w:val="22"/>
    </w:rPr>
  </w:style>
  <w:style w:type="paragraph" w:styleId="19">
    <w:name w:val="toc 3"/>
    <w:basedOn w:val="1"/>
    <w:next w:val="1"/>
    <w:qFormat/>
    <w:uiPriority w:val="39"/>
    <w:pPr>
      <w:ind w:left="840"/>
    </w:pPr>
    <w:rPr>
      <w:rFonts w:ascii="Calibri" w:hAnsi="Calibri"/>
      <w:szCs w:val="22"/>
    </w:rPr>
  </w:style>
  <w:style w:type="paragraph" w:styleId="20">
    <w:name w:val="Plain Text"/>
    <w:basedOn w:val="1"/>
    <w:link w:val="293"/>
    <w:qFormat/>
    <w:uiPriority w:val="0"/>
    <w:rPr>
      <w:rFonts w:ascii="Ari"/>
      <w:sz w:val="20"/>
      <w:szCs w:val="20"/>
    </w:rPr>
  </w:style>
  <w:style w:type="paragraph" w:styleId="21">
    <w:name w:val="toc 8"/>
    <w:basedOn w:val="1"/>
    <w:next w:val="1"/>
    <w:unhideWhenUsed/>
    <w:qFormat/>
    <w:uiPriority w:val="39"/>
    <w:pPr>
      <w:ind w:left="2940"/>
    </w:pPr>
    <w:rPr>
      <w:rFonts w:ascii="Calibri" w:hAnsi="Calibri"/>
      <w:szCs w:val="22"/>
    </w:rPr>
  </w:style>
  <w:style w:type="paragraph" w:styleId="22">
    <w:name w:val="Date"/>
    <w:basedOn w:val="1"/>
    <w:next w:val="1"/>
    <w:link w:val="300"/>
    <w:unhideWhenUsed/>
    <w:qFormat/>
    <w:uiPriority w:val="0"/>
  </w:style>
  <w:style w:type="paragraph" w:styleId="23">
    <w:name w:val="Body Text Indent 2"/>
    <w:basedOn w:val="1"/>
    <w:link w:val="319"/>
    <w:unhideWhenUsed/>
    <w:qFormat/>
    <w:uiPriority w:val="99"/>
    <w:pPr>
      <w:spacing w:line="420" w:lineRule="exact"/>
      <w:ind w:firstLine="525"/>
    </w:pPr>
    <w:rPr>
      <w:rFonts w:ascii="宋体"/>
      <w:sz w:val="20"/>
      <w:szCs w:val="20"/>
    </w:rPr>
  </w:style>
  <w:style w:type="paragraph" w:styleId="24">
    <w:name w:val="endnote text"/>
    <w:basedOn w:val="1"/>
    <w:link w:val="201"/>
    <w:semiHidden/>
    <w:unhideWhenUsed/>
    <w:qFormat/>
    <w:uiPriority w:val="99"/>
    <w:rPr>
      <w:sz w:val="20"/>
    </w:rPr>
  </w:style>
  <w:style w:type="paragraph" w:styleId="25">
    <w:name w:val="Balloon Text"/>
    <w:basedOn w:val="1"/>
    <w:link w:val="340"/>
    <w:qFormat/>
    <w:uiPriority w:val="0"/>
    <w:rPr>
      <w:sz w:val="18"/>
      <w:szCs w:val="18"/>
    </w:rPr>
  </w:style>
  <w:style w:type="paragraph" w:styleId="26">
    <w:name w:val="footer"/>
    <w:basedOn w:val="1"/>
    <w:link w:val="364"/>
    <w:semiHidden/>
    <w:unhideWhenUsed/>
    <w:qFormat/>
    <w:uiPriority w:val="99"/>
    <w:pPr>
      <w:tabs>
        <w:tab w:val="center" w:pos="4153"/>
        <w:tab w:val="right" w:pos="8306"/>
      </w:tabs>
      <w:snapToGrid w:val="0"/>
      <w:jc w:val="left"/>
    </w:pPr>
    <w:rPr>
      <w:sz w:val="18"/>
      <w:szCs w:val="18"/>
    </w:rPr>
  </w:style>
  <w:style w:type="paragraph" w:styleId="27">
    <w:name w:val="header"/>
    <w:basedOn w:val="1"/>
    <w:link w:val="36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style>
  <w:style w:type="paragraph" w:styleId="29">
    <w:name w:val="toc 4"/>
    <w:basedOn w:val="1"/>
    <w:next w:val="1"/>
    <w:unhideWhenUsed/>
    <w:qFormat/>
    <w:uiPriority w:val="39"/>
    <w:pPr>
      <w:ind w:left="1260"/>
    </w:pPr>
    <w:rPr>
      <w:rFonts w:ascii="Calibri" w:hAnsi="Calibri"/>
      <w:szCs w:val="22"/>
    </w:rPr>
  </w:style>
  <w:style w:type="paragraph" w:styleId="30">
    <w:name w:val="Subtitle"/>
    <w:basedOn w:val="1"/>
    <w:next w:val="1"/>
    <w:link w:val="316"/>
    <w:qFormat/>
    <w:uiPriority w:val="0"/>
    <w:pPr>
      <w:spacing w:before="240" w:after="60" w:line="312" w:lineRule="auto"/>
      <w:jc w:val="center"/>
      <w:outlineLvl w:val="1"/>
    </w:pPr>
    <w:rPr>
      <w:rFonts w:ascii="Cambria" w:hAnsi="Cambria"/>
      <w:b/>
      <w:bCs/>
      <w:sz w:val="32"/>
      <w:szCs w:val="32"/>
    </w:rPr>
  </w:style>
  <w:style w:type="paragraph" w:styleId="31">
    <w:name w:val="footnote text"/>
    <w:basedOn w:val="1"/>
    <w:link w:val="200"/>
    <w:semiHidden/>
    <w:unhideWhenUsed/>
    <w:qFormat/>
    <w:uiPriority w:val="99"/>
    <w:pPr>
      <w:spacing w:after="40"/>
    </w:pPr>
    <w:rPr>
      <w:sz w:val="18"/>
    </w:rPr>
  </w:style>
  <w:style w:type="paragraph" w:styleId="32">
    <w:name w:val="toc 6"/>
    <w:basedOn w:val="1"/>
    <w:next w:val="1"/>
    <w:unhideWhenUsed/>
    <w:qFormat/>
    <w:uiPriority w:val="39"/>
    <w:pPr>
      <w:ind w:left="2100"/>
    </w:pPr>
    <w:rPr>
      <w:rFonts w:ascii="Calibri" w:hAnsi="Calibri"/>
      <w:szCs w:val="22"/>
    </w:rPr>
  </w:style>
  <w:style w:type="paragraph" w:styleId="33">
    <w:name w:val="Body Text Indent 3"/>
    <w:basedOn w:val="1"/>
    <w:link w:val="338"/>
    <w:qFormat/>
    <w:uiPriority w:val="0"/>
    <w:pPr>
      <w:spacing w:after="120"/>
      <w:ind w:left="420"/>
    </w:pPr>
    <w:rPr>
      <w:sz w:val="16"/>
      <w:szCs w:val="20"/>
    </w:rPr>
  </w:style>
  <w:style w:type="paragraph" w:styleId="34">
    <w:name w:val="table of figures"/>
    <w:basedOn w:val="1"/>
    <w:next w:val="1"/>
    <w:unhideWhenUsed/>
    <w:qFormat/>
    <w:uiPriority w:val="99"/>
  </w:style>
  <w:style w:type="paragraph" w:styleId="35">
    <w:name w:val="toc 2"/>
    <w:basedOn w:val="1"/>
    <w:next w:val="1"/>
    <w:qFormat/>
    <w:uiPriority w:val="39"/>
    <w:pPr>
      <w:ind w:left="420"/>
    </w:pPr>
    <w:rPr>
      <w:rFonts w:ascii="Calibri" w:hAnsi="Calibri"/>
      <w:szCs w:val="22"/>
    </w:rPr>
  </w:style>
  <w:style w:type="paragraph" w:styleId="36">
    <w:name w:val="toc 9"/>
    <w:basedOn w:val="1"/>
    <w:next w:val="1"/>
    <w:unhideWhenUsed/>
    <w:qFormat/>
    <w:uiPriority w:val="39"/>
    <w:pPr>
      <w:ind w:left="3360"/>
    </w:pPr>
    <w:rPr>
      <w:rFonts w:ascii="Calibri" w:hAnsi="Calibri"/>
      <w:szCs w:val="22"/>
    </w:rPr>
  </w:style>
  <w:style w:type="paragraph" w:styleId="3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8">
    <w:name w:val="Normal (Web)"/>
    <w:basedOn w:val="1"/>
    <w:qFormat/>
    <w:uiPriority w:val="0"/>
    <w:pPr>
      <w:widowControl/>
      <w:spacing w:before="100" w:beforeAutospacing="1" w:after="100" w:afterAutospacing="1"/>
      <w:jc w:val="left"/>
    </w:pPr>
    <w:rPr>
      <w:rFonts w:ascii="宋体" w:hAnsi="宋体" w:cs="宋体"/>
      <w:sz w:val="24"/>
    </w:rPr>
  </w:style>
  <w:style w:type="paragraph" w:styleId="39">
    <w:name w:val="index 1"/>
    <w:basedOn w:val="1"/>
    <w:next w:val="1"/>
    <w:qFormat/>
    <w:uiPriority w:val="0"/>
    <w:pPr>
      <w:spacing w:line="220" w:lineRule="exact"/>
      <w:jc w:val="center"/>
    </w:pPr>
    <w:rPr>
      <w:rFonts w:ascii="仿宋_GB2312" w:hAnsi="Calibri" w:eastAsia="仿宋_GB2312"/>
      <w:szCs w:val="22"/>
    </w:rPr>
  </w:style>
  <w:style w:type="paragraph" w:styleId="40">
    <w:name w:val="Title"/>
    <w:basedOn w:val="1"/>
    <w:link w:val="296"/>
    <w:qFormat/>
    <w:uiPriority w:val="0"/>
    <w:pPr>
      <w:spacing w:before="240" w:after="60" w:line="420" w:lineRule="atLeast"/>
      <w:jc w:val="center"/>
      <w:outlineLvl w:val="0"/>
    </w:pPr>
    <w:rPr>
      <w:rFonts w:ascii="Arial" w:hAnsi="Arial"/>
      <w:b/>
      <w:sz w:val="32"/>
      <w:szCs w:val="20"/>
    </w:rPr>
  </w:style>
  <w:style w:type="paragraph" w:styleId="41">
    <w:name w:val="annotation subject"/>
    <w:basedOn w:val="10"/>
    <w:next w:val="10"/>
    <w:link w:val="329"/>
    <w:qFormat/>
    <w:uiPriority w:val="0"/>
    <w:rPr>
      <w:b/>
      <w:bCs/>
    </w:rPr>
  </w:style>
  <w:style w:type="paragraph" w:styleId="42">
    <w:name w:val="Body Text First Indent"/>
    <w:basedOn w:val="12"/>
    <w:link w:val="351"/>
    <w:semiHidden/>
    <w:unhideWhenUsed/>
    <w:qFormat/>
    <w:uiPriority w:val="0"/>
    <w:pPr>
      <w:spacing w:after="120"/>
      <w:ind w:firstLine="420"/>
      <w:jc w:val="both"/>
    </w:pPr>
    <w:rPr>
      <w:rFonts w:eastAsia="宋体"/>
      <w:b w:val="0"/>
      <w:bCs w:val="0"/>
      <w:sz w:val="21"/>
    </w:rPr>
  </w:style>
  <w:style w:type="paragraph" w:styleId="43">
    <w:name w:val="Body Text First Indent 2"/>
    <w:basedOn w:val="16"/>
    <w:link w:val="371"/>
    <w:semiHidden/>
    <w:unhideWhenUsed/>
    <w:qFormat/>
    <w:uiPriority w:val="99"/>
    <w:pPr>
      <w:ind w:left="200" w:leftChars="200" w:firstLine="420" w:firstLineChars="200"/>
    </w:pPr>
  </w:style>
  <w:style w:type="table" w:styleId="45">
    <w:name w:val="Table Grid"/>
    <w:basedOn w:val="44"/>
    <w:qFormat/>
    <w:uiPriority w:val="39"/>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22"/>
    <w:rPr>
      <w:rFonts w:cs="Times New Roman"/>
      <w:b/>
    </w:rPr>
  </w:style>
  <w:style w:type="character" w:styleId="48">
    <w:name w:val="endnote reference"/>
    <w:basedOn w:val="46"/>
    <w:semiHidden/>
    <w:unhideWhenUsed/>
    <w:qFormat/>
    <w:uiPriority w:val="99"/>
    <w:rPr>
      <w:vertAlign w:val="superscript"/>
    </w:rPr>
  </w:style>
  <w:style w:type="character" w:styleId="49">
    <w:name w:val="page number"/>
    <w:qFormat/>
    <w:uiPriority w:val="0"/>
    <w:rPr>
      <w:rFonts w:eastAsia="宋体"/>
      <w:b/>
      <w:spacing w:val="0"/>
      <w:sz w:val="24"/>
      <w:szCs w:val="24"/>
      <w:lang w:val="en-US" w:eastAsia="zh-CN" w:bidi="ar-SA"/>
    </w:rPr>
  </w:style>
  <w:style w:type="character" w:styleId="50">
    <w:name w:val="FollowedHyperlink"/>
    <w:qFormat/>
    <w:uiPriority w:val="0"/>
    <w:rPr>
      <w:color w:val="800080"/>
      <w:u w:val="single"/>
    </w:rPr>
  </w:style>
  <w:style w:type="character" w:styleId="51">
    <w:name w:val="Emphasis"/>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color w:val="008000"/>
    </w:rPr>
  </w:style>
  <w:style w:type="character" w:styleId="55">
    <w:name w:val="footnote reference"/>
    <w:basedOn w:val="46"/>
    <w:unhideWhenUsed/>
    <w:qFormat/>
    <w:uiPriority w:val="99"/>
    <w:rPr>
      <w:vertAlign w:val="superscript"/>
    </w:rPr>
  </w:style>
  <w:style w:type="character" w:customStyle="1" w:styleId="56">
    <w:name w:val="Heading 1 Char"/>
    <w:basedOn w:val="46"/>
    <w:qFormat/>
    <w:uiPriority w:val="9"/>
    <w:rPr>
      <w:rFonts w:ascii="Arial" w:hAnsi="Arial" w:eastAsia="Arial" w:cs="Arial"/>
      <w:sz w:val="40"/>
      <w:szCs w:val="40"/>
    </w:rPr>
  </w:style>
  <w:style w:type="character" w:customStyle="1" w:styleId="57">
    <w:name w:val="Heading 2 Char"/>
    <w:basedOn w:val="46"/>
    <w:qFormat/>
    <w:uiPriority w:val="9"/>
    <w:rPr>
      <w:rFonts w:ascii="Arial" w:hAnsi="Arial" w:eastAsia="Arial" w:cs="Arial"/>
      <w:sz w:val="34"/>
    </w:rPr>
  </w:style>
  <w:style w:type="character" w:customStyle="1" w:styleId="58">
    <w:name w:val="Heading 3 Char"/>
    <w:basedOn w:val="46"/>
    <w:qFormat/>
    <w:uiPriority w:val="9"/>
    <w:rPr>
      <w:rFonts w:ascii="Arial" w:hAnsi="Arial" w:eastAsia="Arial" w:cs="Arial"/>
      <w:sz w:val="30"/>
      <w:szCs w:val="30"/>
    </w:rPr>
  </w:style>
  <w:style w:type="character" w:customStyle="1" w:styleId="59">
    <w:name w:val="Heading 4 Char"/>
    <w:basedOn w:val="46"/>
    <w:qFormat/>
    <w:uiPriority w:val="9"/>
    <w:rPr>
      <w:rFonts w:ascii="Arial" w:hAnsi="Arial" w:eastAsia="Arial" w:cs="Arial"/>
      <w:b/>
      <w:bCs/>
      <w:sz w:val="26"/>
      <w:szCs w:val="26"/>
    </w:rPr>
  </w:style>
  <w:style w:type="character" w:customStyle="1" w:styleId="60">
    <w:name w:val="Heading 5 Char"/>
    <w:basedOn w:val="46"/>
    <w:qFormat/>
    <w:uiPriority w:val="9"/>
    <w:rPr>
      <w:rFonts w:ascii="Arial" w:hAnsi="Arial" w:eastAsia="Arial" w:cs="Arial"/>
      <w:b/>
      <w:bCs/>
      <w:sz w:val="24"/>
      <w:szCs w:val="24"/>
    </w:rPr>
  </w:style>
  <w:style w:type="character" w:customStyle="1" w:styleId="61">
    <w:name w:val="Heading 6 Char"/>
    <w:basedOn w:val="46"/>
    <w:qFormat/>
    <w:uiPriority w:val="9"/>
    <w:rPr>
      <w:rFonts w:ascii="Arial" w:hAnsi="Arial" w:eastAsia="Arial" w:cs="Arial"/>
      <w:b/>
      <w:bCs/>
      <w:sz w:val="22"/>
      <w:szCs w:val="22"/>
    </w:rPr>
  </w:style>
  <w:style w:type="character" w:customStyle="1" w:styleId="62">
    <w:name w:val="Heading 7 Char"/>
    <w:basedOn w:val="46"/>
    <w:qFormat/>
    <w:uiPriority w:val="9"/>
    <w:rPr>
      <w:rFonts w:ascii="Arial" w:hAnsi="Arial" w:eastAsia="Arial" w:cs="Arial"/>
      <w:b/>
      <w:bCs/>
      <w:i/>
      <w:iCs/>
      <w:sz w:val="22"/>
      <w:szCs w:val="22"/>
    </w:rPr>
  </w:style>
  <w:style w:type="character" w:customStyle="1" w:styleId="63">
    <w:name w:val="Heading 8 Char"/>
    <w:basedOn w:val="46"/>
    <w:qFormat/>
    <w:uiPriority w:val="9"/>
    <w:rPr>
      <w:rFonts w:ascii="Arial" w:hAnsi="Arial" w:eastAsia="Arial" w:cs="Arial"/>
      <w:i/>
      <w:iCs/>
      <w:sz w:val="22"/>
      <w:szCs w:val="22"/>
    </w:rPr>
  </w:style>
  <w:style w:type="character" w:customStyle="1" w:styleId="64">
    <w:name w:val="Heading 9 Char"/>
    <w:basedOn w:val="46"/>
    <w:qFormat/>
    <w:uiPriority w:val="9"/>
    <w:rPr>
      <w:rFonts w:ascii="Arial" w:hAnsi="Arial" w:eastAsia="Arial" w:cs="Arial"/>
      <w:i/>
      <w:iCs/>
      <w:sz w:val="21"/>
      <w:szCs w:val="21"/>
    </w:rPr>
  </w:style>
  <w:style w:type="paragraph" w:styleId="65">
    <w:name w:val="No Spacing"/>
    <w:qFormat/>
    <w:uiPriority w:val="1"/>
    <w:rPr>
      <w:rFonts w:ascii="Times New Roman" w:hAnsi="Times New Roman" w:eastAsia="宋体" w:cs="Times New Roman"/>
      <w:lang w:val="en-US" w:eastAsia="zh-CN" w:bidi="ar-SA"/>
    </w:rPr>
  </w:style>
  <w:style w:type="character" w:customStyle="1" w:styleId="66">
    <w:name w:val="Title Char"/>
    <w:basedOn w:val="46"/>
    <w:qFormat/>
    <w:uiPriority w:val="10"/>
    <w:rPr>
      <w:sz w:val="48"/>
      <w:szCs w:val="48"/>
    </w:rPr>
  </w:style>
  <w:style w:type="character" w:customStyle="1" w:styleId="67">
    <w:name w:val="Subtitle Char"/>
    <w:basedOn w:val="46"/>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Char3"/>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Char3"/>
    <w:link w:val="70"/>
    <w:qFormat/>
    <w:uiPriority w:val="30"/>
    <w:rPr>
      <w:i/>
    </w:rPr>
  </w:style>
  <w:style w:type="character" w:customStyle="1" w:styleId="72">
    <w:name w:val="Header Char"/>
    <w:basedOn w:val="46"/>
    <w:qFormat/>
    <w:uiPriority w:val="99"/>
  </w:style>
  <w:style w:type="character" w:customStyle="1" w:styleId="73">
    <w:name w:val="Footer Char"/>
    <w:basedOn w:val="46"/>
    <w:qFormat/>
    <w:uiPriority w:val="99"/>
  </w:style>
  <w:style w:type="character" w:customStyle="1" w:styleId="74">
    <w:name w:val="Caption Char"/>
    <w:qFormat/>
    <w:uiPriority w:val="99"/>
  </w:style>
  <w:style w:type="table" w:customStyle="1" w:styleId="75">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4"/>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4"/>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4"/>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4"/>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7">
    <w:name w:val="Grid Table 6 Colorful - Accent 1"/>
    <w:basedOn w:val="4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8">
    <w:name w:val="Grid Table 6 Colorful - Accent 2"/>
    <w:basedOn w:val="4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9">
    <w:name w:val="Grid Table 6 Colorful - Accent 3"/>
    <w:basedOn w:val="4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0">
    <w:name w:val="Grid Table 6 Colorful - Accent 4"/>
    <w:basedOn w:val="4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1">
    <w:name w:val="Grid Table 6 Colorful - Accent 5"/>
    <w:basedOn w:val="4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2">
    <w:name w:val="Grid Table 6 Colorful - Accent 6"/>
    <w:basedOn w:val="4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3">
    <w:name w:val="Grid Table 7 Colorful"/>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4">
    <w:name w:val="Grid Table 7 Colorful - Accent 1"/>
    <w:basedOn w:val="4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5">
    <w:name w:val="Grid Table 7 Colorful - Accent 2"/>
    <w:basedOn w:val="4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6">
    <w:name w:val="Grid Table 7 Colorful - Accent 3"/>
    <w:basedOn w:val="4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7">
    <w:name w:val="Grid Table 7 Colorful - Accent 4"/>
    <w:basedOn w:val="4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8">
    <w:name w:val="Grid Table 7 Colorful - Accent 5"/>
    <w:basedOn w:val="4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9">
    <w:name w:val="Grid Table 7 Colorful - Accent 6"/>
    <w:basedOn w:val="4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0">
    <w:name w:val="List Table 1 Light"/>
    <w:basedOn w:val="44"/>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4"/>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4"/>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4"/>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4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6">
    <w:name w:val="List Table 6 Colorful - Accent 1"/>
    <w:basedOn w:val="44"/>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7">
    <w:name w:val="List Table 6 Colorful - Accent 2"/>
    <w:basedOn w:val="44"/>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8">
    <w:name w:val="List Table 6 Colorful - Accent 3"/>
    <w:basedOn w:val="44"/>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9">
    <w:name w:val="List Table 6 Colorful - Accent 4"/>
    <w:basedOn w:val="44"/>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0">
    <w:name w:val="List Table 6 Colorful - Accent 5"/>
    <w:basedOn w:val="44"/>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1">
    <w:name w:val="List Table 6 Colorful - Accent 6"/>
    <w:basedOn w:val="44"/>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2">
    <w:name w:val="List Table 7 Colorful"/>
    <w:basedOn w:val="4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3">
    <w:name w:val="List Table 7 Colorful - Accent 1"/>
    <w:basedOn w:val="44"/>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4">
    <w:name w:val="List Table 7 Colorful - Accent 2"/>
    <w:basedOn w:val="44"/>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5">
    <w:name w:val="List Table 7 Colorful - Accent 3"/>
    <w:basedOn w:val="44"/>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6">
    <w:name w:val="List Table 7 Colorful - Accent 4"/>
    <w:basedOn w:val="44"/>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7">
    <w:name w:val="List Table 7 Colorful - Accent 5"/>
    <w:basedOn w:val="44"/>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8">
    <w:name w:val="List Table 7 Colorful - Accent 6"/>
    <w:basedOn w:val="44"/>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9">
    <w:name w:val="Lined - Accent"/>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4"/>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Char"/>
    <w:link w:val="31"/>
    <w:qFormat/>
    <w:uiPriority w:val="99"/>
    <w:rPr>
      <w:sz w:val="18"/>
    </w:rPr>
  </w:style>
  <w:style w:type="character" w:customStyle="1" w:styleId="201">
    <w:name w:val="尾注文本 Char"/>
    <w:link w:val="24"/>
    <w:qFormat/>
    <w:uiPriority w:val="99"/>
    <w:rPr>
      <w:sz w:val="20"/>
    </w:rPr>
  </w:style>
  <w:style w:type="paragraph" w:customStyle="1" w:styleId="202">
    <w:name w:val="TOC 标题1"/>
    <w:unhideWhenUsed/>
    <w:qFormat/>
    <w:uiPriority w:val="39"/>
    <w:rPr>
      <w:rFonts w:ascii="Times New Roman" w:hAnsi="Times New Roman" w:eastAsia="宋体" w:cs="Times New Roman"/>
      <w:lang w:val="en-US" w:eastAsia="zh-CN" w:bidi="ar-SA"/>
    </w:rPr>
  </w:style>
  <w:style w:type="paragraph" w:customStyle="1" w:styleId="203">
    <w:name w:val="Heading 1"/>
    <w:basedOn w:val="1"/>
    <w:next w:val="1"/>
    <w:link w:val="342"/>
    <w:qFormat/>
    <w:uiPriority w:val="0"/>
    <w:pPr>
      <w:keepNext/>
      <w:keepLines/>
      <w:numPr>
        <w:ilvl w:val="0"/>
        <w:numId w:val="1"/>
      </w:numPr>
      <w:spacing w:before="340" w:after="330" w:line="578" w:lineRule="auto"/>
      <w:jc w:val="center"/>
      <w:outlineLvl w:val="0"/>
    </w:pPr>
    <w:rPr>
      <w:b/>
      <w:bCs/>
      <w:sz w:val="32"/>
      <w:szCs w:val="44"/>
    </w:rPr>
  </w:style>
  <w:style w:type="paragraph" w:customStyle="1" w:styleId="204">
    <w:name w:val="Heading 2"/>
    <w:basedOn w:val="1"/>
    <w:next w:val="1"/>
    <w:link w:val="280"/>
    <w:qFormat/>
    <w:uiPriority w:val="0"/>
    <w:pPr>
      <w:keepNext/>
      <w:keepLines/>
      <w:numPr>
        <w:ilvl w:val="1"/>
        <w:numId w:val="1"/>
      </w:numPr>
      <w:spacing w:before="260" w:after="260" w:line="416" w:lineRule="auto"/>
      <w:outlineLvl w:val="1"/>
    </w:pPr>
    <w:rPr>
      <w:rFonts w:ascii="Cambria" w:hAnsi="Cambria"/>
      <w:b/>
      <w:bCs/>
      <w:sz w:val="32"/>
      <w:szCs w:val="32"/>
    </w:rPr>
  </w:style>
  <w:style w:type="paragraph" w:customStyle="1" w:styleId="205">
    <w:name w:val="Heading 3"/>
    <w:basedOn w:val="1"/>
    <w:next w:val="1"/>
    <w:link w:val="314"/>
    <w:qFormat/>
    <w:uiPriority w:val="0"/>
    <w:pPr>
      <w:keepNext/>
      <w:keepLines/>
      <w:numPr>
        <w:ilvl w:val="2"/>
        <w:numId w:val="1"/>
      </w:numPr>
      <w:spacing w:before="260" w:after="260" w:line="416" w:lineRule="auto"/>
      <w:outlineLvl w:val="2"/>
    </w:pPr>
    <w:rPr>
      <w:b/>
      <w:bCs/>
      <w:sz w:val="32"/>
      <w:szCs w:val="32"/>
    </w:rPr>
  </w:style>
  <w:style w:type="paragraph" w:customStyle="1" w:styleId="206">
    <w:name w:val="Heading 4"/>
    <w:basedOn w:val="1"/>
    <w:next w:val="1"/>
    <w:link w:val="347"/>
    <w:qFormat/>
    <w:uiPriority w:val="0"/>
    <w:pPr>
      <w:keepNext/>
      <w:keepLines/>
      <w:numPr>
        <w:ilvl w:val="3"/>
        <w:numId w:val="1"/>
      </w:numPr>
      <w:spacing w:before="280" w:after="290" w:line="376" w:lineRule="auto"/>
      <w:outlineLvl w:val="3"/>
    </w:pPr>
    <w:rPr>
      <w:rFonts w:ascii="Cambria" w:hAnsi="Cambria"/>
      <w:b/>
      <w:bCs/>
      <w:sz w:val="28"/>
      <w:szCs w:val="28"/>
    </w:rPr>
  </w:style>
  <w:style w:type="paragraph" w:customStyle="1" w:styleId="207">
    <w:name w:val="Heading 5"/>
    <w:basedOn w:val="1"/>
    <w:next w:val="1"/>
    <w:link w:val="304"/>
    <w:qFormat/>
    <w:uiPriority w:val="0"/>
    <w:pPr>
      <w:keepNext/>
      <w:keepLines/>
      <w:numPr>
        <w:ilvl w:val="4"/>
        <w:numId w:val="1"/>
      </w:numPr>
      <w:spacing w:before="280" w:after="290" w:line="376" w:lineRule="auto"/>
      <w:outlineLvl w:val="4"/>
    </w:pPr>
    <w:rPr>
      <w:b/>
      <w:bCs/>
      <w:sz w:val="28"/>
      <w:szCs w:val="28"/>
    </w:rPr>
  </w:style>
  <w:style w:type="paragraph" w:customStyle="1" w:styleId="208">
    <w:name w:val="Heading 6"/>
    <w:basedOn w:val="1"/>
    <w:next w:val="1"/>
    <w:link w:val="292"/>
    <w:qFormat/>
    <w:uiPriority w:val="0"/>
    <w:pPr>
      <w:keepNext/>
      <w:keepLines/>
      <w:numPr>
        <w:ilvl w:val="5"/>
        <w:numId w:val="1"/>
      </w:numPr>
      <w:spacing w:before="240" w:after="64" w:line="320" w:lineRule="auto"/>
      <w:outlineLvl w:val="5"/>
    </w:pPr>
    <w:rPr>
      <w:rFonts w:ascii="Cambria" w:hAnsi="Cambria"/>
      <w:b/>
      <w:bCs/>
      <w:sz w:val="24"/>
    </w:rPr>
  </w:style>
  <w:style w:type="paragraph" w:customStyle="1" w:styleId="209">
    <w:name w:val="Heading 7"/>
    <w:basedOn w:val="1"/>
    <w:next w:val="1"/>
    <w:link w:val="341"/>
    <w:qFormat/>
    <w:uiPriority w:val="0"/>
    <w:pPr>
      <w:keepNext/>
      <w:keepLines/>
      <w:numPr>
        <w:ilvl w:val="6"/>
        <w:numId w:val="1"/>
      </w:numPr>
      <w:spacing w:before="240" w:after="64" w:line="320" w:lineRule="auto"/>
      <w:outlineLvl w:val="6"/>
    </w:pPr>
    <w:rPr>
      <w:b/>
      <w:bCs/>
      <w:sz w:val="24"/>
    </w:rPr>
  </w:style>
  <w:style w:type="paragraph" w:customStyle="1" w:styleId="210">
    <w:name w:val="Heading 8"/>
    <w:basedOn w:val="1"/>
    <w:next w:val="1"/>
    <w:link w:val="327"/>
    <w:qFormat/>
    <w:uiPriority w:val="0"/>
    <w:pPr>
      <w:keepNext/>
      <w:keepLines/>
      <w:numPr>
        <w:ilvl w:val="7"/>
        <w:numId w:val="1"/>
      </w:numPr>
      <w:spacing w:before="240" w:after="64" w:line="320" w:lineRule="auto"/>
      <w:outlineLvl w:val="7"/>
    </w:pPr>
    <w:rPr>
      <w:rFonts w:ascii="Cambria" w:hAnsi="Cambria"/>
      <w:sz w:val="24"/>
    </w:rPr>
  </w:style>
  <w:style w:type="paragraph" w:customStyle="1" w:styleId="211">
    <w:name w:val="Heading 9"/>
    <w:basedOn w:val="1"/>
    <w:next w:val="1"/>
    <w:link w:val="308"/>
    <w:qFormat/>
    <w:uiPriority w:val="0"/>
    <w:pPr>
      <w:keepNext/>
      <w:keepLines/>
      <w:numPr>
        <w:ilvl w:val="8"/>
        <w:numId w:val="1"/>
      </w:numPr>
      <w:spacing w:before="240" w:after="64" w:line="320" w:lineRule="auto"/>
      <w:outlineLvl w:val="8"/>
    </w:pPr>
    <w:rPr>
      <w:rFonts w:ascii="Cambria" w:hAnsi="Cambria"/>
      <w:szCs w:val="21"/>
    </w:rPr>
  </w:style>
  <w:style w:type="paragraph" w:customStyle="1" w:styleId="212">
    <w:name w:val="Caption"/>
    <w:basedOn w:val="1"/>
    <w:next w:val="1"/>
    <w:qFormat/>
    <w:uiPriority w:val="0"/>
    <w:rPr>
      <w:rFonts w:ascii="Cambria" w:hAnsi="Cambria" w:eastAsia="黑体"/>
      <w:sz w:val="20"/>
      <w:szCs w:val="22"/>
    </w:rPr>
  </w:style>
  <w:style w:type="paragraph" w:customStyle="1" w:styleId="213">
    <w:name w:val="Footer"/>
    <w:basedOn w:val="1"/>
    <w:link w:val="331"/>
    <w:qFormat/>
    <w:uiPriority w:val="99"/>
    <w:pPr>
      <w:tabs>
        <w:tab w:val="center" w:pos="4153"/>
        <w:tab w:val="right" w:pos="8306"/>
      </w:tabs>
      <w:jc w:val="left"/>
    </w:pPr>
    <w:rPr>
      <w:sz w:val="18"/>
      <w:szCs w:val="18"/>
    </w:rPr>
  </w:style>
  <w:style w:type="paragraph" w:customStyle="1" w:styleId="214">
    <w:name w:val="Header"/>
    <w:basedOn w:val="1"/>
    <w:link w:val="291"/>
    <w:qFormat/>
    <w:uiPriority w:val="99"/>
    <w:pPr>
      <w:pBdr>
        <w:bottom w:val="single" w:color="auto" w:sz="6" w:space="1"/>
      </w:pBdr>
      <w:tabs>
        <w:tab w:val="center" w:pos="4153"/>
        <w:tab w:val="right" w:pos="8306"/>
      </w:tabs>
      <w:jc w:val="center"/>
    </w:pPr>
    <w:rPr>
      <w:sz w:val="18"/>
      <w:szCs w:val="18"/>
    </w:rPr>
  </w:style>
  <w:style w:type="character" w:customStyle="1" w:styleId="215">
    <w:name w:val="标题 1 Char"/>
    <w:qFormat/>
    <w:uiPriority w:val="0"/>
    <w:rPr>
      <w:b/>
      <w:bCs/>
      <w:sz w:val="32"/>
      <w:szCs w:val="44"/>
    </w:rPr>
  </w:style>
  <w:style w:type="paragraph" w:customStyle="1" w:styleId="216">
    <w:name w:val="列出段落1"/>
    <w:basedOn w:val="1"/>
    <w:qFormat/>
    <w:uiPriority w:val="34"/>
    <w:pPr>
      <w:ind w:firstLine="420"/>
    </w:pPr>
  </w:style>
  <w:style w:type="paragraph" w:customStyle="1" w:styleId="217">
    <w:name w:val="标题 3_0"/>
    <w:basedOn w:val="218"/>
    <w:next w:val="218"/>
    <w:link w:val="279"/>
    <w:qFormat/>
    <w:uiPriority w:val="0"/>
    <w:pPr>
      <w:keepNext/>
      <w:keepLines/>
      <w:spacing w:before="260" w:after="260" w:line="416" w:lineRule="auto"/>
      <w:outlineLvl w:val="2"/>
    </w:pPr>
    <w:rPr>
      <w:b/>
      <w:bCs/>
      <w:sz w:val="32"/>
      <w:szCs w:val="32"/>
    </w:rPr>
  </w:style>
  <w:style w:type="paragraph" w:customStyle="1" w:styleId="21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19">
    <w:name w:val="引用1"/>
    <w:basedOn w:val="1"/>
    <w:next w:val="1"/>
    <w:link w:val="284"/>
    <w:qFormat/>
    <w:uiPriority w:val="0"/>
    <w:rPr>
      <w:i/>
      <w:iCs/>
      <w:color w:val="000000"/>
      <w:sz w:val="20"/>
      <w:szCs w:val="20"/>
    </w:rPr>
  </w:style>
  <w:style w:type="paragraph" w:customStyle="1" w:styleId="220">
    <w:name w:val="标题 1_0"/>
    <w:basedOn w:val="218"/>
    <w:next w:val="218"/>
    <w:link w:val="285"/>
    <w:qFormat/>
    <w:uiPriority w:val="0"/>
    <w:pPr>
      <w:keepNext/>
      <w:keepLines/>
      <w:spacing w:before="340" w:after="330" w:line="578" w:lineRule="auto"/>
      <w:outlineLvl w:val="0"/>
    </w:pPr>
    <w:rPr>
      <w:b/>
      <w:bCs/>
      <w:sz w:val="44"/>
      <w:szCs w:val="44"/>
    </w:rPr>
  </w:style>
  <w:style w:type="paragraph" w:customStyle="1" w:styleId="221">
    <w:name w:val="标题 4_0"/>
    <w:basedOn w:val="218"/>
    <w:next w:val="218"/>
    <w:link w:val="290"/>
    <w:qFormat/>
    <w:uiPriority w:val="0"/>
    <w:pPr>
      <w:keepNext/>
      <w:keepLines/>
      <w:spacing w:before="280" w:after="290" w:line="376" w:lineRule="auto"/>
      <w:outlineLvl w:val="3"/>
    </w:pPr>
    <w:rPr>
      <w:rFonts w:ascii="Arial" w:hAnsi="Arial" w:eastAsia="黑体"/>
      <w:b/>
      <w:bCs/>
      <w:sz w:val="28"/>
      <w:szCs w:val="28"/>
    </w:rPr>
  </w:style>
  <w:style w:type="paragraph" w:customStyle="1" w:styleId="222">
    <w:name w:val="标题5"/>
    <w:basedOn w:val="205"/>
    <w:link w:val="297"/>
    <w:qFormat/>
    <w:uiPriority w:val="0"/>
    <w:pPr>
      <w:numPr>
        <w:numId w:val="0"/>
      </w:numPr>
      <w:spacing w:line="413" w:lineRule="auto"/>
    </w:pPr>
    <w:rPr>
      <w:rFonts w:ascii="Arial" w:hAnsi="Arial"/>
      <w:sz w:val="24"/>
    </w:rPr>
  </w:style>
  <w:style w:type="paragraph" w:customStyle="1" w:styleId="223">
    <w:name w:val="明显引用1"/>
    <w:basedOn w:val="1"/>
    <w:next w:val="1"/>
    <w:link w:val="303"/>
    <w:qFormat/>
    <w:uiPriority w:val="0"/>
    <w:pPr>
      <w:pBdr>
        <w:bottom w:val="single" w:color="4F81BD" w:sz="4" w:space="4"/>
      </w:pBdr>
      <w:spacing w:before="200" w:after="280"/>
      <w:ind w:left="936" w:right="936"/>
    </w:pPr>
    <w:rPr>
      <w:b/>
      <w:bCs/>
      <w:i/>
      <w:iCs/>
      <w:color w:val="4F81BD"/>
      <w:sz w:val="20"/>
      <w:szCs w:val="20"/>
    </w:rPr>
  </w:style>
  <w:style w:type="paragraph" w:customStyle="1" w:styleId="224">
    <w:name w:val="正文文本_0"/>
    <w:basedOn w:val="218"/>
    <w:link w:val="315"/>
    <w:qFormat/>
    <w:uiPriority w:val="0"/>
    <w:pPr>
      <w:spacing w:after="120"/>
    </w:pPr>
    <w:rPr>
      <w:sz w:val="20"/>
    </w:rPr>
  </w:style>
  <w:style w:type="paragraph" w:customStyle="1" w:styleId="225">
    <w:name w:val="标题 5_0"/>
    <w:basedOn w:val="218"/>
    <w:next w:val="218"/>
    <w:link w:val="318"/>
    <w:qFormat/>
    <w:uiPriority w:val="0"/>
    <w:pPr>
      <w:keepNext/>
      <w:keepLines/>
      <w:spacing w:before="280" w:after="290" w:line="372" w:lineRule="auto"/>
      <w:outlineLvl w:val="4"/>
    </w:pPr>
    <w:rPr>
      <w:rFonts w:ascii="Calibri" w:hAnsi="Calibri"/>
      <w:b/>
      <w:bCs/>
      <w:sz w:val="28"/>
      <w:szCs w:val="28"/>
    </w:rPr>
  </w:style>
  <w:style w:type="paragraph" w:customStyle="1" w:styleId="226">
    <w:name w:val="标题4"/>
    <w:basedOn w:val="204"/>
    <w:next w:val="17"/>
    <w:link w:val="332"/>
    <w:qFormat/>
    <w:uiPriority w:val="0"/>
    <w:pPr>
      <w:numPr>
        <w:numId w:val="0"/>
      </w:numPr>
      <w:spacing w:line="413" w:lineRule="auto"/>
    </w:pPr>
    <w:rPr>
      <w:rFonts w:ascii="Arial" w:hAnsi="Arial"/>
      <w:sz w:val="24"/>
    </w:rPr>
  </w:style>
  <w:style w:type="paragraph" w:customStyle="1" w:styleId="227">
    <w:name w:val="标题 2_0"/>
    <w:basedOn w:val="218"/>
    <w:next w:val="218"/>
    <w:link w:val="344"/>
    <w:unhideWhenUsed/>
    <w:qFormat/>
    <w:uiPriority w:val="0"/>
    <w:pPr>
      <w:keepNext/>
      <w:keepLines/>
      <w:spacing w:before="260" w:after="260" w:line="416" w:lineRule="auto"/>
      <w:outlineLvl w:val="1"/>
    </w:pPr>
    <w:rPr>
      <w:rFonts w:ascii="Cambria" w:hAnsi="Cambria"/>
      <w:b/>
      <w:bCs/>
      <w:sz w:val="32"/>
      <w:szCs w:val="32"/>
    </w:rPr>
  </w:style>
  <w:style w:type="paragraph" w:customStyle="1" w:styleId="228">
    <w:name w:val="List Paragraph1"/>
    <w:basedOn w:val="1"/>
    <w:link w:val="348"/>
    <w:qFormat/>
    <w:uiPriority w:val="99"/>
    <w:pPr>
      <w:ind w:firstLine="420"/>
    </w:pPr>
  </w:style>
  <w:style w:type="paragraph" w:customStyle="1" w:styleId="229">
    <w:name w:val="样式 标题 3 + (中文) 黑体 小四 非加粗 段前: 7.8 磅 段后: 0 磅 行距: 固定值 20 磅"/>
    <w:basedOn w:val="205"/>
    <w:next w:val="1"/>
    <w:qFormat/>
    <w:uiPriority w:val="0"/>
    <w:pPr>
      <w:spacing w:before="0" w:after="0" w:line="400" w:lineRule="exact"/>
    </w:pPr>
    <w:rPr>
      <w:rFonts w:eastAsia="黑体" w:cs="宋体"/>
      <w:b w:val="0"/>
      <w:bCs w:val="0"/>
      <w:sz w:val="24"/>
      <w:szCs w:val="20"/>
    </w:rPr>
  </w:style>
  <w:style w:type="paragraph" w:customStyle="1" w:styleId="230">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31">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32">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33">
    <w:name w:val="空半行"/>
    <w:basedOn w:val="1"/>
    <w:qFormat/>
    <w:uiPriority w:val="0"/>
    <w:pPr>
      <w:spacing w:line="120" w:lineRule="exact"/>
    </w:pPr>
    <w:rPr>
      <w:rFonts w:ascii="Calibri" w:hAnsi="Calibri" w:eastAsia="仿宋_GB2312"/>
      <w:color w:val="FFFFFF"/>
      <w:sz w:val="30"/>
      <w:szCs w:val="22"/>
    </w:rPr>
  </w:style>
  <w:style w:type="paragraph" w:customStyle="1" w:styleId="234">
    <w:name w:val="1方案格式1"/>
    <w:basedOn w:val="203"/>
    <w:qFormat/>
    <w:uiPriority w:val="0"/>
    <w:pPr>
      <w:numPr>
        <w:ilvl w:val="0"/>
        <w:numId w:val="2"/>
      </w:numPr>
      <w:tabs>
        <w:tab w:val="left" w:pos="360"/>
      </w:tabs>
      <w:spacing w:line="360" w:lineRule="auto"/>
      <w:ind w:left="0" w:firstLine="0"/>
    </w:pPr>
    <w:rPr>
      <w:rFonts w:eastAsia="微软雅黑"/>
      <w:bCs w:val="0"/>
      <w:sz w:val="48"/>
    </w:rPr>
  </w:style>
  <w:style w:type="paragraph" w:customStyle="1" w:styleId="235">
    <w:name w:val="格式３"/>
    <w:basedOn w:val="1"/>
    <w:qFormat/>
    <w:uiPriority w:val="0"/>
    <w:pPr>
      <w:spacing w:line="420" w:lineRule="exact"/>
      <w:ind w:left="600" w:hanging="600"/>
    </w:pPr>
    <w:rPr>
      <w:rFonts w:ascii="宋体" w:hAnsi="宋体"/>
      <w:color w:val="000000"/>
      <w:sz w:val="24"/>
      <w:szCs w:val="20"/>
    </w:rPr>
  </w:style>
  <w:style w:type="paragraph" w:customStyle="1" w:styleId="236">
    <w:name w:val="正文1"/>
    <w:qFormat/>
    <w:uiPriority w:val="0"/>
    <w:pPr>
      <w:widowControl w:val="0"/>
      <w:jc w:val="both"/>
    </w:pPr>
    <w:rPr>
      <w:rFonts w:ascii="Calibri" w:hAnsi="Calibri" w:eastAsia="宋体" w:cs="Times New Roman"/>
      <w:lang w:val="en-US" w:eastAsia="zh-CN" w:bidi="ar-SA"/>
    </w:rPr>
  </w:style>
  <w:style w:type="paragraph" w:customStyle="1" w:styleId="237">
    <w:name w:val="列出段落111"/>
    <w:basedOn w:val="1"/>
    <w:qFormat/>
    <w:uiPriority w:val="99"/>
    <w:pPr>
      <w:widowControl/>
      <w:ind w:left="720"/>
      <w:contextualSpacing/>
      <w:jc w:val="left"/>
    </w:pPr>
    <w:rPr>
      <w:rFonts w:ascii="Arial" w:hAnsi="Arial" w:eastAsia="黑体"/>
      <w:sz w:val="24"/>
      <w:lang w:eastAsia="en-US"/>
    </w:rPr>
  </w:style>
  <w:style w:type="paragraph" w:customStyle="1" w:styleId="238">
    <w:name w:val="正文空2字"/>
    <w:basedOn w:val="1"/>
    <w:qFormat/>
    <w:uiPriority w:val="0"/>
    <w:pPr>
      <w:spacing w:line="360" w:lineRule="auto"/>
      <w:ind w:firstLine="200"/>
    </w:pPr>
    <w:rPr>
      <w:sz w:val="24"/>
      <w:lang w:bidi="en-US"/>
    </w:rPr>
  </w:style>
  <w:style w:type="paragraph" w:customStyle="1" w:styleId="23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240">
    <w:name w:val="目录 5_0"/>
    <w:basedOn w:val="218"/>
    <w:next w:val="218"/>
    <w:qFormat/>
    <w:uiPriority w:val="39"/>
    <w:pPr>
      <w:ind w:left="1680"/>
    </w:pPr>
    <w:rPr>
      <w:rFonts w:ascii="Calibri" w:hAnsi="Calibri"/>
    </w:rPr>
  </w:style>
  <w:style w:type="paragraph" w:customStyle="1" w:styleId="241">
    <w:name w:val="修订1"/>
    <w:qFormat/>
    <w:uiPriority w:val="0"/>
    <w:rPr>
      <w:rFonts w:ascii="Times New Roman" w:hAnsi="Times New Roman" w:eastAsia="宋体" w:cs="Times New Roman"/>
      <w:sz w:val="21"/>
      <w:szCs w:val="24"/>
      <w:lang w:val="en-US" w:eastAsia="zh-CN" w:bidi="ar-SA"/>
    </w:rPr>
  </w:style>
  <w:style w:type="paragraph" w:customStyle="1" w:styleId="242">
    <w:name w:val="标题 11"/>
    <w:basedOn w:val="236"/>
    <w:next w:val="236"/>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243">
    <w:name w:val="正文 + 行距: 固定值 20 磅"/>
    <w:basedOn w:val="1"/>
    <w:qFormat/>
    <w:uiPriority w:val="0"/>
    <w:pPr>
      <w:spacing w:line="400" w:lineRule="exact"/>
      <w:ind w:firstLine="716"/>
    </w:pPr>
    <w:rPr>
      <w:rFonts w:ascii="Calibri" w:hAnsi="Calibri"/>
      <w:szCs w:val="22"/>
    </w:rPr>
  </w:style>
  <w:style w:type="paragraph" w:customStyle="1" w:styleId="244">
    <w:name w:val="TOC 标题11"/>
    <w:basedOn w:val="203"/>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245">
    <w:name w:val="表格文字"/>
    <w:basedOn w:val="1"/>
    <w:link w:val="349"/>
    <w:qFormat/>
    <w:uiPriority w:val="0"/>
    <w:pPr>
      <w:spacing w:line="420" w:lineRule="atLeast"/>
      <w:jc w:val="left"/>
    </w:pPr>
    <w:rPr>
      <w:rFonts w:ascii="Calibri" w:hAnsi="Calibri"/>
      <w:szCs w:val="22"/>
    </w:rPr>
  </w:style>
  <w:style w:type="paragraph" w:customStyle="1" w:styleId="246">
    <w:name w:val="flNote"/>
    <w:basedOn w:val="1"/>
    <w:qFormat/>
    <w:uiPriority w:val="0"/>
    <w:pPr>
      <w:spacing w:before="320" w:after="160" w:line="360" w:lineRule="atLeast"/>
      <w:jc w:val="center"/>
    </w:pPr>
    <w:rPr>
      <w:rFonts w:ascii="Arial" w:hAnsi="Calibri" w:eastAsia="黑体"/>
      <w:sz w:val="30"/>
      <w:szCs w:val="22"/>
    </w:rPr>
  </w:style>
  <w:style w:type="paragraph" w:customStyle="1" w:styleId="247">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248">
    <w:name w:val="表格"/>
    <w:basedOn w:val="1"/>
    <w:qFormat/>
    <w:uiPriority w:val="0"/>
    <w:pPr>
      <w:jc w:val="center"/>
    </w:pPr>
    <w:rPr>
      <w:rFonts w:ascii="华文细黑" w:hAnsi="华文细黑"/>
      <w:szCs w:val="22"/>
    </w:rPr>
  </w:style>
  <w:style w:type="paragraph" w:customStyle="1" w:styleId="249">
    <w:name w:val="Char"/>
    <w:basedOn w:val="1"/>
    <w:qFormat/>
    <w:uiPriority w:val="0"/>
    <w:pPr>
      <w:widowControl/>
      <w:spacing w:after="160" w:line="240" w:lineRule="exact"/>
      <w:jc w:val="left"/>
    </w:pPr>
    <w:rPr>
      <w:rFonts w:ascii="Verdana" w:hAnsi="Verdana"/>
      <w:sz w:val="20"/>
      <w:szCs w:val="20"/>
      <w:lang w:eastAsia="en-US"/>
    </w:rPr>
  </w:style>
  <w:style w:type="paragraph" w:customStyle="1" w:styleId="25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51">
    <w:name w:val="列出段落2"/>
    <w:basedOn w:val="1"/>
    <w:qFormat/>
    <w:uiPriority w:val="99"/>
    <w:pPr>
      <w:ind w:firstLine="420"/>
    </w:pPr>
  </w:style>
  <w:style w:type="paragraph" w:customStyle="1" w:styleId="252">
    <w:name w:val="6'"/>
    <w:basedOn w:val="1"/>
    <w:qFormat/>
    <w:uiPriority w:val="0"/>
    <w:pPr>
      <w:spacing w:line="320" w:lineRule="exact"/>
      <w:jc w:val="center"/>
    </w:pPr>
    <w:rPr>
      <w:rFonts w:ascii="Calibri" w:hAnsi="Calibri"/>
      <w:spacing w:val="20"/>
      <w:szCs w:val="22"/>
    </w:rPr>
  </w:style>
  <w:style w:type="paragraph" w:customStyle="1" w:styleId="253">
    <w:name w:val="Char Char Char Char Char Char Char"/>
    <w:basedOn w:val="1"/>
    <w:qFormat/>
    <w:uiPriority w:val="0"/>
    <w:pPr>
      <w:spacing w:line="360" w:lineRule="auto"/>
    </w:pPr>
    <w:rPr>
      <w:sz w:val="24"/>
      <w:szCs w:val="20"/>
    </w:rPr>
  </w:style>
  <w:style w:type="paragraph" w:customStyle="1" w:styleId="254">
    <w:name w:val="2方案格式2"/>
    <w:basedOn w:val="234"/>
    <w:qFormat/>
    <w:uiPriority w:val="0"/>
    <w:pPr>
      <w:numPr>
        <w:ilvl w:val="1"/>
      </w:numPr>
      <w:spacing w:line="240" w:lineRule="auto"/>
      <w:outlineLvl w:val="1"/>
    </w:pPr>
    <w:rPr>
      <w:sz w:val="44"/>
    </w:rPr>
  </w:style>
  <w:style w:type="paragraph" w:customStyle="1" w:styleId="255">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256">
    <w:name w:val="文档正文"/>
    <w:basedOn w:val="1"/>
    <w:qFormat/>
    <w:uiPriority w:val="0"/>
    <w:pPr>
      <w:spacing w:line="480" w:lineRule="atLeast"/>
      <w:ind w:firstLine="567"/>
    </w:pPr>
    <w:rPr>
      <w:rFonts w:ascii="Ari" w:eastAsia="Ari"/>
      <w:sz w:val="28"/>
      <w:szCs w:val="20"/>
    </w:rPr>
  </w:style>
  <w:style w:type="paragraph" w:customStyle="1" w:styleId="257">
    <w:name w:val="txt"/>
    <w:basedOn w:val="1"/>
    <w:qFormat/>
    <w:uiPriority w:val="0"/>
    <w:pPr>
      <w:widowControl/>
      <w:spacing w:before="100" w:beforeAutospacing="1" w:after="100" w:afterAutospacing="1"/>
      <w:jc w:val="left"/>
    </w:pPr>
    <w:rPr>
      <w:rFonts w:ascii="宋体" w:hAnsi="宋体" w:cs="宋体"/>
      <w:sz w:val="24"/>
    </w:rPr>
  </w:style>
  <w:style w:type="paragraph" w:customStyle="1" w:styleId="258">
    <w:name w:val="目录 4_0"/>
    <w:basedOn w:val="218"/>
    <w:next w:val="218"/>
    <w:qFormat/>
    <w:uiPriority w:val="39"/>
    <w:pPr>
      <w:ind w:left="1260"/>
    </w:pPr>
    <w:rPr>
      <w:rFonts w:ascii="Calibri" w:hAnsi="Calibri"/>
    </w:rPr>
  </w:style>
  <w:style w:type="paragraph" w:customStyle="1" w:styleId="259">
    <w:name w:val="目录 3_0"/>
    <w:basedOn w:val="218"/>
    <w:next w:val="218"/>
    <w:qFormat/>
    <w:uiPriority w:val="39"/>
    <w:pPr>
      <w:ind w:left="840"/>
    </w:pPr>
    <w:rPr>
      <w:rFonts w:ascii="Calibri" w:hAnsi="Calibri"/>
    </w:rPr>
  </w:style>
  <w:style w:type="paragraph" w:customStyle="1" w:styleId="260">
    <w:name w:val="样式 标题 1 + 黑体 三号 非加粗 居中 段前: 6 磅 段后: 6 磅 行距: 固定值 20 磅"/>
    <w:basedOn w:val="203"/>
    <w:qFormat/>
    <w:uiPriority w:val="0"/>
    <w:pPr>
      <w:numPr>
        <w:ilvl w:val="0"/>
        <w:numId w:val="0"/>
      </w:numPr>
      <w:spacing w:before="120" w:after="120" w:line="400" w:lineRule="exact"/>
    </w:pPr>
    <w:rPr>
      <w:rFonts w:ascii="黑体" w:hAnsi="黑体" w:eastAsia="黑体"/>
      <w:b w:val="0"/>
      <w:bCs w:val="0"/>
      <w:szCs w:val="20"/>
    </w:rPr>
  </w:style>
  <w:style w:type="paragraph" w:customStyle="1" w:styleId="261">
    <w:name w:val="1"/>
    <w:basedOn w:val="1"/>
    <w:next w:val="1"/>
    <w:qFormat/>
    <w:uiPriority w:val="0"/>
    <w:rPr>
      <w:rFonts w:ascii="Calibri" w:hAnsi="Calibri"/>
      <w:szCs w:val="22"/>
    </w:rPr>
  </w:style>
  <w:style w:type="paragraph" w:customStyle="1" w:styleId="262">
    <w:name w:val="Blockquote_0"/>
    <w:basedOn w:val="218"/>
    <w:qFormat/>
    <w:uiPriority w:val="0"/>
    <w:pPr>
      <w:spacing w:before="100" w:after="100"/>
      <w:ind w:left="360" w:right="360"/>
      <w:jc w:val="left"/>
    </w:pPr>
    <w:rPr>
      <w:rFonts w:ascii="Calibri" w:hAnsi="Calibri" w:eastAsia="Times New Roman"/>
      <w:sz w:val="24"/>
      <w:szCs w:val="20"/>
    </w:rPr>
  </w:style>
  <w:style w:type="paragraph" w:customStyle="1" w:styleId="263">
    <w:name w:val="列出段落11"/>
    <w:basedOn w:val="1"/>
    <w:qFormat/>
    <w:uiPriority w:val="0"/>
    <w:pPr>
      <w:widowControl/>
      <w:ind w:left="720"/>
      <w:contextualSpacing/>
      <w:jc w:val="left"/>
    </w:pPr>
    <w:rPr>
      <w:rFonts w:ascii="Arial" w:hAnsi="Arial" w:eastAsia="黑体"/>
      <w:sz w:val="24"/>
      <w:lang w:eastAsia="en-US"/>
    </w:rPr>
  </w:style>
  <w:style w:type="paragraph" w:customStyle="1" w:styleId="26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265">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266">
    <w:name w:val="p0"/>
    <w:basedOn w:val="1"/>
    <w:qFormat/>
    <w:uiPriority w:val="0"/>
    <w:pPr>
      <w:widowControl/>
    </w:pPr>
    <w:rPr>
      <w:b/>
      <w:bCs/>
      <w:sz w:val="24"/>
    </w:rPr>
  </w:style>
  <w:style w:type="paragraph" w:customStyle="1" w:styleId="267">
    <w:name w:val="Blockquote"/>
    <w:basedOn w:val="1"/>
    <w:qFormat/>
    <w:uiPriority w:val="0"/>
    <w:pPr>
      <w:spacing w:before="100" w:after="100"/>
      <w:ind w:left="360" w:right="360"/>
      <w:jc w:val="left"/>
    </w:pPr>
    <w:rPr>
      <w:rFonts w:ascii="Calibri" w:hAnsi="Calibri"/>
      <w:sz w:val="24"/>
      <w:szCs w:val="22"/>
    </w:rPr>
  </w:style>
  <w:style w:type="paragraph" w:customStyle="1" w:styleId="268">
    <w:name w:val="3方案格式3"/>
    <w:basedOn w:val="254"/>
    <w:qFormat/>
    <w:uiPriority w:val="0"/>
    <w:pPr>
      <w:numPr>
        <w:ilvl w:val="2"/>
      </w:numPr>
      <w:outlineLvl w:val="2"/>
    </w:pPr>
    <w:rPr>
      <w:sz w:val="32"/>
    </w:rPr>
  </w:style>
  <w:style w:type="paragraph" w:customStyle="1" w:styleId="269">
    <w:name w:val="样式 标题 2 + Times New Roman 四号 非加粗 段前: 5 磅 段后: 0 磅 行距: 固定值 20..."/>
    <w:basedOn w:val="204"/>
    <w:qFormat/>
    <w:uiPriority w:val="0"/>
    <w:pPr>
      <w:numPr>
        <w:numId w:val="0"/>
      </w:numPr>
      <w:spacing w:before="100" w:after="0" w:line="400" w:lineRule="exact"/>
    </w:pPr>
    <w:rPr>
      <w:rFonts w:ascii="Times New Roman" w:hAnsi="Times New Roman" w:eastAsia="黑体"/>
      <w:b w:val="0"/>
      <w:bCs w:val="0"/>
      <w:sz w:val="28"/>
      <w:szCs w:val="20"/>
    </w:rPr>
  </w:style>
  <w:style w:type="paragraph" w:customStyle="1" w:styleId="270">
    <w:name w:val="标题2"/>
    <w:basedOn w:val="204"/>
    <w:next w:val="12"/>
    <w:qFormat/>
    <w:uiPriority w:val="0"/>
    <w:pPr>
      <w:spacing w:before="156" w:after="156" w:line="360" w:lineRule="auto"/>
    </w:pPr>
    <w:rPr>
      <w:bCs w:val="0"/>
      <w:sz w:val="24"/>
    </w:rPr>
  </w:style>
  <w:style w:type="paragraph" w:customStyle="1" w:styleId="271">
    <w:name w:val="普通正文"/>
    <w:basedOn w:val="1"/>
    <w:qFormat/>
    <w:uiPriority w:val="0"/>
    <w:pPr>
      <w:spacing w:before="120" w:after="120" w:line="360" w:lineRule="auto"/>
      <w:ind w:firstLine="480"/>
      <w:jc w:val="left"/>
    </w:pPr>
    <w:rPr>
      <w:rFonts w:ascii="Arial" w:hAnsi="Arial"/>
      <w:sz w:val="24"/>
    </w:rPr>
  </w:style>
  <w:style w:type="paragraph" w:customStyle="1" w:styleId="272">
    <w:name w:val="正文11"/>
    <w:qFormat/>
    <w:uiPriority w:val="0"/>
    <w:rPr>
      <w:rFonts w:ascii="Calibri" w:hAnsi="Calibri" w:eastAsia="宋体" w:cs="Calibri"/>
      <w:sz w:val="24"/>
      <w:szCs w:val="24"/>
      <w:lang w:val="en-US" w:eastAsia="zh-CN" w:bidi="ar-SA"/>
    </w:rPr>
  </w:style>
  <w:style w:type="paragraph" w:customStyle="1" w:styleId="273">
    <w:name w:val="正文2"/>
    <w:basedOn w:val="1"/>
    <w:qFormat/>
    <w:uiPriority w:val="0"/>
    <w:rPr>
      <w:rFonts w:eastAsia="微软雅黑"/>
      <w:sz w:val="24"/>
    </w:rPr>
  </w:style>
  <w:style w:type="paragraph" w:customStyle="1" w:styleId="274">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275">
    <w:name w:val="纯文本2"/>
    <w:basedOn w:val="1"/>
    <w:qFormat/>
    <w:uiPriority w:val="0"/>
    <w:pPr>
      <w:jc w:val="left"/>
    </w:pPr>
    <w:rPr>
      <w:rFonts w:hint="eastAsia" w:ascii="宋体" w:hAnsi="宋体" w:cs="Courier New"/>
      <w:sz w:val="24"/>
      <w:szCs w:val="20"/>
    </w:rPr>
  </w:style>
  <w:style w:type="paragraph" w:customStyle="1" w:styleId="276">
    <w:name w:val="trs_editor"/>
    <w:basedOn w:val="1"/>
    <w:qFormat/>
    <w:uiPriority w:val="0"/>
    <w:pPr>
      <w:widowControl/>
      <w:spacing w:before="100" w:beforeAutospacing="1" w:after="100" w:afterAutospacing="1"/>
      <w:jc w:val="left"/>
    </w:pPr>
    <w:rPr>
      <w:rFonts w:ascii="宋体" w:hAnsi="宋体" w:cs="宋体"/>
      <w:sz w:val="24"/>
    </w:rPr>
  </w:style>
  <w:style w:type="character" w:customStyle="1" w:styleId="277">
    <w:name w:val="明显强调1"/>
    <w:qFormat/>
    <w:uiPriority w:val="0"/>
    <w:rPr>
      <w:b/>
      <w:bCs/>
      <w:i/>
      <w:iCs/>
      <w:color w:val="4F81BD"/>
    </w:rPr>
  </w:style>
  <w:style w:type="character" w:customStyle="1" w:styleId="278">
    <w:name w:val="批注文字 Char2"/>
    <w:qFormat/>
    <w:uiPriority w:val="0"/>
    <w:rPr>
      <w:sz w:val="21"/>
    </w:rPr>
  </w:style>
  <w:style w:type="character" w:customStyle="1" w:styleId="279">
    <w:name w:val="标题 3 Char_0"/>
    <w:link w:val="217"/>
    <w:qFormat/>
    <w:uiPriority w:val="0"/>
    <w:rPr>
      <w:b/>
      <w:bCs/>
      <w:sz w:val="32"/>
      <w:szCs w:val="32"/>
    </w:rPr>
  </w:style>
  <w:style w:type="character" w:customStyle="1" w:styleId="280">
    <w:name w:val="标题 2 字符"/>
    <w:link w:val="204"/>
    <w:qFormat/>
    <w:uiPriority w:val="0"/>
    <w:rPr>
      <w:rFonts w:ascii="Cambria" w:hAnsi="Cambria"/>
      <w:b/>
      <w:bCs/>
      <w:sz w:val="32"/>
      <w:szCs w:val="32"/>
    </w:rPr>
  </w:style>
  <w:style w:type="character" w:customStyle="1" w:styleId="281">
    <w:name w:val="正文文本 Char2"/>
    <w:semiHidden/>
    <w:qFormat/>
    <w:uiPriority w:val="99"/>
    <w:rPr>
      <w:rFonts w:ascii="Calibri" w:hAnsi="Calibri" w:eastAsia="宋体" w:cs="Times New Roman"/>
    </w:rPr>
  </w:style>
  <w:style w:type="character" w:customStyle="1" w:styleId="282">
    <w:name w:val="页脚 Char1"/>
    <w:semiHidden/>
    <w:qFormat/>
    <w:uiPriority w:val="99"/>
    <w:rPr>
      <w:rFonts w:ascii="Calibri" w:hAnsi="Calibri" w:eastAsia="宋体" w:cs="Times New Roman"/>
      <w:sz w:val="18"/>
      <w:szCs w:val="18"/>
    </w:rPr>
  </w:style>
  <w:style w:type="character" w:customStyle="1" w:styleId="283">
    <w:name w:val="明显引用 Char2"/>
    <w:qFormat/>
    <w:uiPriority w:val="99"/>
    <w:rPr>
      <w:b/>
      <w:bCs/>
      <w:i/>
      <w:iCs/>
      <w:color w:val="4F81BD"/>
      <w:sz w:val="21"/>
      <w:szCs w:val="24"/>
    </w:rPr>
  </w:style>
  <w:style w:type="character" w:customStyle="1" w:styleId="284">
    <w:name w:val="引用 Char"/>
    <w:link w:val="219"/>
    <w:qFormat/>
    <w:uiPriority w:val="0"/>
    <w:rPr>
      <w:i/>
      <w:iCs/>
      <w:color w:val="000000"/>
    </w:rPr>
  </w:style>
  <w:style w:type="character" w:customStyle="1" w:styleId="285">
    <w:name w:val="标题 1 Char_0"/>
    <w:link w:val="220"/>
    <w:qFormat/>
    <w:uiPriority w:val="0"/>
    <w:rPr>
      <w:b/>
      <w:bCs/>
      <w:sz w:val="44"/>
      <w:szCs w:val="44"/>
    </w:rPr>
  </w:style>
  <w:style w:type="character" w:customStyle="1" w:styleId="286">
    <w:name w:val="正文文本缩进 3 Char1"/>
    <w:semiHidden/>
    <w:qFormat/>
    <w:uiPriority w:val="99"/>
    <w:rPr>
      <w:sz w:val="16"/>
      <w:szCs w:val="16"/>
    </w:rPr>
  </w:style>
  <w:style w:type="character" w:customStyle="1" w:styleId="287">
    <w:name w:val="引用 Char1"/>
    <w:qFormat/>
    <w:uiPriority w:val="29"/>
    <w:rPr>
      <w:i/>
      <w:iCs/>
      <w:color w:val="000000"/>
      <w:sz w:val="21"/>
    </w:rPr>
  </w:style>
  <w:style w:type="character" w:customStyle="1" w:styleId="288">
    <w:name w:val="正文文本缩进 Char"/>
    <w:link w:val="16"/>
    <w:qFormat/>
    <w:uiPriority w:val="0"/>
    <w:rPr>
      <w:sz w:val="21"/>
      <w:szCs w:val="24"/>
    </w:rPr>
  </w:style>
  <w:style w:type="character" w:customStyle="1" w:styleId="289">
    <w:name w:val="font161"/>
    <w:qFormat/>
    <w:uiPriority w:val="0"/>
    <w:rPr>
      <w:b/>
      <w:sz w:val="32"/>
    </w:rPr>
  </w:style>
  <w:style w:type="character" w:customStyle="1" w:styleId="290">
    <w:name w:val="标题 4 Char_0"/>
    <w:link w:val="221"/>
    <w:qFormat/>
    <w:uiPriority w:val="0"/>
    <w:rPr>
      <w:rFonts w:ascii="Arial" w:hAnsi="Arial" w:eastAsia="黑体"/>
      <w:b/>
      <w:bCs/>
      <w:sz w:val="28"/>
      <w:szCs w:val="28"/>
    </w:rPr>
  </w:style>
  <w:style w:type="character" w:customStyle="1" w:styleId="291">
    <w:name w:val="页眉 字符"/>
    <w:link w:val="214"/>
    <w:qFormat/>
    <w:uiPriority w:val="99"/>
    <w:rPr>
      <w:sz w:val="18"/>
      <w:szCs w:val="18"/>
    </w:rPr>
  </w:style>
  <w:style w:type="character" w:customStyle="1" w:styleId="292">
    <w:name w:val="标题 6 字符"/>
    <w:link w:val="208"/>
    <w:qFormat/>
    <w:uiPriority w:val="0"/>
    <w:rPr>
      <w:rFonts w:ascii="Cambria" w:hAnsi="Cambria" w:eastAsia="宋体" w:cs="Times New Roman"/>
      <w:b/>
      <w:bCs/>
      <w:sz w:val="24"/>
      <w:szCs w:val="24"/>
    </w:rPr>
  </w:style>
  <w:style w:type="character" w:customStyle="1" w:styleId="293">
    <w:name w:val="纯文本 Char"/>
    <w:link w:val="20"/>
    <w:qFormat/>
    <w:uiPriority w:val="0"/>
    <w:rPr>
      <w:rFonts w:ascii="Ari"/>
      <w:lang w:val="en-US" w:eastAsia="zh-CN" w:bidi="ar-SA"/>
    </w:rPr>
  </w:style>
  <w:style w:type="character" w:customStyle="1" w:styleId="294">
    <w:name w:val="引用 Char2"/>
    <w:qFormat/>
    <w:uiPriority w:val="99"/>
    <w:rPr>
      <w:i/>
      <w:iCs/>
      <w:color w:val="000000"/>
      <w:sz w:val="21"/>
      <w:szCs w:val="24"/>
    </w:rPr>
  </w:style>
  <w:style w:type="character" w:customStyle="1" w:styleId="295">
    <w:name w:val="rvts11"/>
    <w:qFormat/>
    <w:uiPriority w:val="0"/>
    <w:rPr>
      <w:rFonts w:hint="default" w:ascii="KNLe" w:hAnsi="KNLe"/>
      <w:sz w:val="24"/>
      <w:szCs w:val="24"/>
      <w:u w:val="single"/>
    </w:rPr>
  </w:style>
  <w:style w:type="character" w:customStyle="1" w:styleId="296">
    <w:name w:val="标题 Char"/>
    <w:link w:val="40"/>
    <w:qFormat/>
    <w:uiPriority w:val="0"/>
    <w:rPr>
      <w:rFonts w:ascii="Arial" w:hAnsi="Arial"/>
      <w:b/>
      <w:sz w:val="32"/>
    </w:rPr>
  </w:style>
  <w:style w:type="character" w:customStyle="1" w:styleId="297">
    <w:name w:val="标题5 Char Char"/>
    <w:link w:val="222"/>
    <w:qFormat/>
    <w:uiPriority w:val="0"/>
    <w:rPr>
      <w:rFonts w:ascii="Arial" w:hAnsi="Arial"/>
      <w:b/>
      <w:bCs/>
      <w:sz w:val="24"/>
      <w:szCs w:val="32"/>
    </w:rPr>
  </w:style>
  <w:style w:type="character" w:customStyle="1" w:styleId="298">
    <w:name w:val="副标题 Char2"/>
    <w:qFormat/>
    <w:uiPriority w:val="11"/>
    <w:rPr>
      <w:rFonts w:ascii="Cambria" w:hAnsi="Cambria" w:cs="Times New Roman"/>
      <w:b/>
      <w:bCs/>
      <w:sz w:val="32"/>
      <w:szCs w:val="32"/>
    </w:rPr>
  </w:style>
  <w:style w:type="character" w:customStyle="1" w:styleId="299">
    <w:name w:val="文档结构图 Char"/>
    <w:link w:val="9"/>
    <w:qFormat/>
    <w:uiPriority w:val="0"/>
    <w:rPr>
      <w:rFonts w:ascii="宋体"/>
      <w:sz w:val="18"/>
      <w:szCs w:val="18"/>
    </w:rPr>
  </w:style>
  <w:style w:type="character" w:customStyle="1" w:styleId="300">
    <w:name w:val="日期 Char"/>
    <w:link w:val="22"/>
    <w:qFormat/>
    <w:uiPriority w:val="0"/>
    <w:rPr>
      <w:sz w:val="21"/>
      <w:szCs w:val="24"/>
    </w:rPr>
  </w:style>
  <w:style w:type="character" w:customStyle="1" w:styleId="301">
    <w:name w:val="批注主题 Char1"/>
    <w:qFormat/>
    <w:uiPriority w:val="0"/>
    <w:rPr>
      <w:b/>
      <w:bCs/>
      <w:sz w:val="21"/>
      <w:szCs w:val="22"/>
    </w:rPr>
  </w:style>
  <w:style w:type="character" w:customStyle="1" w:styleId="302">
    <w:name w:val="font31"/>
    <w:qFormat/>
    <w:uiPriority w:val="0"/>
    <w:rPr>
      <w:rFonts w:hint="eastAsia" w:ascii="宋体" w:hAnsi="宋体" w:eastAsia="宋体" w:cs="宋体"/>
      <w:color w:val="000000"/>
      <w:sz w:val="20"/>
      <w:szCs w:val="20"/>
      <w:u w:val="none"/>
    </w:rPr>
  </w:style>
  <w:style w:type="character" w:customStyle="1" w:styleId="303">
    <w:name w:val="明显引用 Char"/>
    <w:link w:val="223"/>
    <w:qFormat/>
    <w:uiPriority w:val="0"/>
    <w:rPr>
      <w:b/>
      <w:bCs/>
      <w:i/>
      <w:iCs/>
      <w:color w:val="4F81BD"/>
    </w:rPr>
  </w:style>
  <w:style w:type="character" w:customStyle="1" w:styleId="304">
    <w:name w:val="标题 5 字符"/>
    <w:link w:val="207"/>
    <w:qFormat/>
    <w:uiPriority w:val="0"/>
    <w:rPr>
      <w:b/>
      <w:bCs/>
      <w:sz w:val="28"/>
      <w:szCs w:val="28"/>
    </w:rPr>
  </w:style>
  <w:style w:type="character" w:customStyle="1" w:styleId="305">
    <w:name w:val="日期 Char1"/>
    <w:qFormat/>
    <w:uiPriority w:val="0"/>
    <w:rPr>
      <w:rFonts w:ascii="Calibri" w:hAnsi="Calibri" w:eastAsia="宋体" w:cs="Times New Roman"/>
    </w:rPr>
  </w:style>
  <w:style w:type="character" w:customStyle="1" w:styleId="306">
    <w:name w:val="批注框文本 Char1"/>
    <w:qFormat/>
    <w:uiPriority w:val="0"/>
    <w:rPr>
      <w:sz w:val="18"/>
      <w:szCs w:val="18"/>
    </w:rPr>
  </w:style>
  <w:style w:type="character" w:customStyle="1" w:styleId="307">
    <w:name w:val="标题 Char1"/>
    <w:qFormat/>
    <w:uiPriority w:val="10"/>
    <w:rPr>
      <w:rFonts w:ascii="Cambria" w:hAnsi="Cambria" w:eastAsia="宋体" w:cs="Times New Roman"/>
      <w:b/>
      <w:bCs/>
      <w:sz w:val="32"/>
      <w:szCs w:val="32"/>
    </w:rPr>
  </w:style>
  <w:style w:type="character" w:customStyle="1" w:styleId="308">
    <w:name w:val="标题 9 字符"/>
    <w:link w:val="211"/>
    <w:qFormat/>
    <w:uiPriority w:val="0"/>
    <w:rPr>
      <w:rFonts w:ascii="Cambria" w:hAnsi="Cambria" w:eastAsia="宋体" w:cs="Times New Roman"/>
      <w:sz w:val="21"/>
      <w:szCs w:val="21"/>
    </w:rPr>
  </w:style>
  <w:style w:type="character" w:customStyle="1" w:styleId="309">
    <w:name w:val="不明显参考1"/>
    <w:qFormat/>
    <w:uiPriority w:val="0"/>
    <w:rPr>
      <w:smallCaps/>
      <w:color w:val="C0504D"/>
      <w:u w:val="single"/>
    </w:rPr>
  </w:style>
  <w:style w:type="character" w:customStyle="1" w:styleId="310">
    <w:name w:val="批注文字 Char1"/>
    <w:qFormat/>
    <w:uiPriority w:val="0"/>
    <w:rPr>
      <w:rFonts w:ascii="Calibri" w:hAnsi="Calibri" w:eastAsia="宋体" w:cs="Times New Roman"/>
    </w:rPr>
  </w:style>
  <w:style w:type="character" w:customStyle="1" w:styleId="311">
    <w:name w:val="标题 Char2"/>
    <w:qFormat/>
    <w:uiPriority w:val="10"/>
    <w:rPr>
      <w:rFonts w:ascii="Cambria" w:hAnsi="Cambria" w:cs="Times New Roman"/>
      <w:b/>
      <w:bCs/>
      <w:sz w:val="32"/>
      <w:szCs w:val="32"/>
    </w:rPr>
  </w:style>
  <w:style w:type="character" w:customStyle="1" w:styleId="312">
    <w:name w:val="正文文本 3 Char1"/>
    <w:semiHidden/>
    <w:qFormat/>
    <w:uiPriority w:val="99"/>
    <w:rPr>
      <w:sz w:val="16"/>
      <w:szCs w:val="16"/>
    </w:rPr>
  </w:style>
  <w:style w:type="character" w:customStyle="1" w:styleId="313">
    <w:name w:val="批注主题 Char2"/>
    <w:qFormat/>
    <w:uiPriority w:val="0"/>
    <w:rPr>
      <w:b/>
      <w:bCs/>
      <w:sz w:val="21"/>
    </w:rPr>
  </w:style>
  <w:style w:type="character" w:customStyle="1" w:styleId="314">
    <w:name w:val="标题 3 字符"/>
    <w:link w:val="205"/>
    <w:qFormat/>
    <w:uiPriority w:val="0"/>
    <w:rPr>
      <w:b/>
      <w:bCs/>
      <w:sz w:val="32"/>
      <w:szCs w:val="32"/>
    </w:rPr>
  </w:style>
  <w:style w:type="character" w:customStyle="1" w:styleId="315">
    <w:name w:val="正文文本 Char_0"/>
    <w:link w:val="224"/>
    <w:qFormat/>
    <w:uiPriority w:val="0"/>
    <w:rPr>
      <w:szCs w:val="24"/>
    </w:rPr>
  </w:style>
  <w:style w:type="character" w:customStyle="1" w:styleId="316">
    <w:name w:val="副标题 Char"/>
    <w:link w:val="30"/>
    <w:qFormat/>
    <w:uiPriority w:val="0"/>
    <w:rPr>
      <w:rFonts w:ascii="Cambria" w:hAnsi="Cambria"/>
      <w:b/>
      <w:bCs/>
      <w:sz w:val="32"/>
      <w:szCs w:val="32"/>
    </w:rPr>
  </w:style>
  <w:style w:type="character" w:customStyle="1" w:styleId="317">
    <w:name w:val="bookmark"/>
    <w:basedOn w:val="46"/>
    <w:qFormat/>
    <w:uiPriority w:val="0"/>
  </w:style>
  <w:style w:type="character" w:customStyle="1" w:styleId="318">
    <w:name w:val="标题 5 Char_0"/>
    <w:link w:val="225"/>
    <w:qFormat/>
    <w:uiPriority w:val="0"/>
    <w:rPr>
      <w:rFonts w:ascii="Calibri" w:hAnsi="Calibri"/>
      <w:b/>
      <w:bCs/>
      <w:sz w:val="28"/>
      <w:szCs w:val="28"/>
    </w:rPr>
  </w:style>
  <w:style w:type="character" w:customStyle="1" w:styleId="319">
    <w:name w:val="正文文本缩进 2 Char"/>
    <w:link w:val="23"/>
    <w:qFormat/>
    <w:uiPriority w:val="99"/>
    <w:rPr>
      <w:rFonts w:ascii="宋体"/>
    </w:rPr>
  </w:style>
  <w:style w:type="character" w:customStyle="1" w:styleId="320">
    <w:name w:val="批注文字 Char"/>
    <w:link w:val="10"/>
    <w:qFormat/>
    <w:uiPriority w:val="99"/>
    <w:rPr>
      <w:sz w:val="21"/>
      <w:szCs w:val="24"/>
    </w:rPr>
  </w:style>
  <w:style w:type="character" w:customStyle="1" w:styleId="321">
    <w:name w:val="font11"/>
    <w:qFormat/>
    <w:uiPriority w:val="0"/>
    <w:rPr>
      <w:rFonts w:hint="eastAsia" w:ascii="宋体" w:hAnsi="宋体" w:eastAsia="宋体" w:cs="宋体"/>
      <w:color w:val="000000"/>
      <w:sz w:val="20"/>
      <w:szCs w:val="20"/>
      <w:u w:val="none"/>
    </w:rPr>
  </w:style>
  <w:style w:type="character" w:customStyle="1" w:styleId="322">
    <w:name w:val="明显参考1"/>
    <w:qFormat/>
    <w:uiPriority w:val="0"/>
    <w:rPr>
      <w:b/>
      <w:bCs/>
      <w:smallCaps/>
      <w:color w:val="C0504D"/>
      <w:spacing w:val="5"/>
      <w:u w:val="single"/>
    </w:rPr>
  </w:style>
  <w:style w:type="character" w:customStyle="1" w:styleId="323">
    <w:name w:val="超链接_0"/>
    <w:qFormat/>
    <w:uiPriority w:val="99"/>
    <w:rPr>
      <w:rFonts w:ascii="Calibri" w:hAnsi="Calibri"/>
      <w:color w:val="0000FF"/>
      <w:u w:val="single"/>
    </w:rPr>
  </w:style>
  <w:style w:type="character" w:customStyle="1" w:styleId="324">
    <w:name w:val="文档结构图 Char2"/>
    <w:semiHidden/>
    <w:qFormat/>
    <w:uiPriority w:val="99"/>
    <w:rPr>
      <w:rFonts w:ascii="宋体" w:hAnsi="Calibri" w:eastAsia="宋体" w:cs="Times New Roman"/>
      <w:sz w:val="18"/>
      <w:szCs w:val="18"/>
    </w:rPr>
  </w:style>
  <w:style w:type="character" w:customStyle="1" w:styleId="325">
    <w:name w:val="textcontents"/>
    <w:qFormat/>
    <w:uiPriority w:val="0"/>
    <w:rPr>
      <w:rFonts w:cs="Times New Roman"/>
    </w:rPr>
  </w:style>
  <w:style w:type="character" w:customStyle="1" w:styleId="326">
    <w:name w:val="正文文本 Char"/>
    <w:link w:val="12"/>
    <w:qFormat/>
    <w:uiPriority w:val="0"/>
    <w:rPr>
      <w:rFonts w:eastAsia="幼圆"/>
      <w:b/>
      <w:bCs/>
      <w:sz w:val="44"/>
      <w:szCs w:val="24"/>
    </w:rPr>
  </w:style>
  <w:style w:type="character" w:customStyle="1" w:styleId="327">
    <w:name w:val="标题 8 字符"/>
    <w:link w:val="210"/>
    <w:qFormat/>
    <w:uiPriority w:val="0"/>
    <w:rPr>
      <w:rFonts w:ascii="Cambria" w:hAnsi="Cambria" w:eastAsia="宋体" w:cs="Times New Roman"/>
      <w:sz w:val="24"/>
      <w:szCs w:val="24"/>
    </w:rPr>
  </w:style>
  <w:style w:type="character" w:customStyle="1" w:styleId="328">
    <w:name w:val="副标题 Char1"/>
    <w:qFormat/>
    <w:uiPriority w:val="11"/>
    <w:rPr>
      <w:rFonts w:ascii="Cambria" w:hAnsi="Cambria" w:cs="Times New Roman"/>
      <w:b/>
      <w:bCs/>
      <w:sz w:val="32"/>
      <w:szCs w:val="32"/>
    </w:rPr>
  </w:style>
  <w:style w:type="character" w:customStyle="1" w:styleId="329">
    <w:name w:val="批注主题 Char"/>
    <w:link w:val="41"/>
    <w:qFormat/>
    <w:uiPriority w:val="0"/>
    <w:rPr>
      <w:b/>
      <w:bCs/>
      <w:sz w:val="21"/>
      <w:szCs w:val="24"/>
    </w:rPr>
  </w:style>
  <w:style w:type="character" w:customStyle="1" w:styleId="330">
    <w:name w:val="书籍标题1"/>
    <w:qFormat/>
    <w:uiPriority w:val="0"/>
    <w:rPr>
      <w:b/>
      <w:bCs/>
      <w:smallCaps/>
      <w:spacing w:val="5"/>
    </w:rPr>
  </w:style>
  <w:style w:type="character" w:customStyle="1" w:styleId="331">
    <w:name w:val="页脚 字符"/>
    <w:link w:val="213"/>
    <w:qFormat/>
    <w:uiPriority w:val="99"/>
    <w:rPr>
      <w:sz w:val="18"/>
      <w:szCs w:val="18"/>
    </w:rPr>
  </w:style>
  <w:style w:type="character" w:customStyle="1" w:styleId="332">
    <w:name w:val="标题4 Char Char"/>
    <w:link w:val="226"/>
    <w:qFormat/>
    <w:uiPriority w:val="0"/>
    <w:rPr>
      <w:rFonts w:ascii="Arial" w:hAnsi="Arial"/>
      <w:b/>
      <w:bCs/>
      <w:sz w:val="24"/>
      <w:szCs w:val="32"/>
    </w:rPr>
  </w:style>
  <w:style w:type="character" w:customStyle="1" w:styleId="333">
    <w:name w:val="正文文本 Char1"/>
    <w:qFormat/>
    <w:uiPriority w:val="0"/>
    <w:rPr>
      <w:rFonts w:ascii="Calibri" w:hAnsi="Calibri" w:eastAsia="宋体" w:cs="Times New Roman"/>
    </w:rPr>
  </w:style>
  <w:style w:type="character" w:customStyle="1" w:styleId="334">
    <w:name w:val="明显引用 Char1"/>
    <w:qFormat/>
    <w:uiPriority w:val="30"/>
    <w:rPr>
      <w:b/>
      <w:bCs/>
      <w:i/>
      <w:iCs/>
      <w:color w:val="4F81BD"/>
      <w:sz w:val="21"/>
    </w:rPr>
  </w:style>
  <w:style w:type="character" w:customStyle="1" w:styleId="335">
    <w:name w:val="页眉 Char1"/>
    <w:semiHidden/>
    <w:qFormat/>
    <w:uiPriority w:val="99"/>
    <w:rPr>
      <w:rFonts w:ascii="Calibri" w:hAnsi="Calibri" w:eastAsia="宋体" w:cs="Times New Roman"/>
      <w:sz w:val="18"/>
      <w:szCs w:val="18"/>
    </w:rPr>
  </w:style>
  <w:style w:type="character" w:customStyle="1" w:styleId="336">
    <w:name w:val="不明显强调1"/>
    <w:qFormat/>
    <w:uiPriority w:val="0"/>
    <w:rPr>
      <w:i/>
      <w:iCs/>
      <w:color w:val="808080"/>
    </w:rPr>
  </w:style>
  <w:style w:type="character" w:customStyle="1" w:styleId="337">
    <w:name w:val="正文文本 3 Char"/>
    <w:link w:val="11"/>
    <w:qFormat/>
    <w:uiPriority w:val="0"/>
    <w:rPr>
      <w:rFonts w:ascii="宋体"/>
      <w:sz w:val="24"/>
    </w:rPr>
  </w:style>
  <w:style w:type="character" w:customStyle="1" w:styleId="338">
    <w:name w:val="正文文本缩进 3 Char"/>
    <w:link w:val="33"/>
    <w:qFormat/>
    <w:uiPriority w:val="0"/>
    <w:rPr>
      <w:sz w:val="16"/>
    </w:rPr>
  </w:style>
  <w:style w:type="character" w:customStyle="1" w:styleId="339">
    <w:name w:val="font21"/>
    <w:qFormat/>
    <w:uiPriority w:val="0"/>
    <w:rPr>
      <w:rFonts w:hint="eastAsia" w:ascii="宋体" w:hAnsi="宋体" w:eastAsia="宋体" w:cs="宋体"/>
      <w:color w:val="000000"/>
      <w:sz w:val="20"/>
      <w:szCs w:val="20"/>
      <w:u w:val="none"/>
    </w:rPr>
  </w:style>
  <w:style w:type="character" w:customStyle="1" w:styleId="340">
    <w:name w:val="批注框文本 Char"/>
    <w:link w:val="25"/>
    <w:qFormat/>
    <w:uiPriority w:val="0"/>
    <w:rPr>
      <w:sz w:val="18"/>
      <w:szCs w:val="18"/>
    </w:rPr>
  </w:style>
  <w:style w:type="character" w:customStyle="1" w:styleId="341">
    <w:name w:val="标题 7 字符"/>
    <w:link w:val="209"/>
    <w:qFormat/>
    <w:uiPriority w:val="0"/>
    <w:rPr>
      <w:b/>
      <w:bCs/>
      <w:sz w:val="24"/>
      <w:szCs w:val="24"/>
    </w:rPr>
  </w:style>
  <w:style w:type="character" w:customStyle="1" w:styleId="342">
    <w:name w:val="标题 1 字符"/>
    <w:link w:val="203"/>
    <w:qFormat/>
    <w:uiPriority w:val="0"/>
    <w:rPr>
      <w:rFonts w:ascii="Times New Roman" w:hAnsi="Times New Roman" w:eastAsia="宋体" w:cs="Times New Roman"/>
      <w:b/>
      <w:bCs/>
      <w:sz w:val="32"/>
      <w:szCs w:val="44"/>
    </w:rPr>
  </w:style>
  <w:style w:type="character" w:customStyle="1" w:styleId="343">
    <w:name w:val="文档结构图 Char1"/>
    <w:qFormat/>
    <w:uiPriority w:val="0"/>
    <w:rPr>
      <w:rFonts w:ascii="宋体" w:hAnsi="Calibri" w:eastAsia="宋体" w:cs="Times New Roman"/>
      <w:sz w:val="18"/>
      <w:szCs w:val="18"/>
    </w:rPr>
  </w:style>
  <w:style w:type="character" w:customStyle="1" w:styleId="344">
    <w:name w:val="标题 2 Char_0"/>
    <w:link w:val="227"/>
    <w:qFormat/>
    <w:uiPriority w:val="0"/>
    <w:rPr>
      <w:rFonts w:ascii="Cambria" w:hAnsi="Cambria"/>
      <w:b/>
      <w:bCs/>
      <w:sz w:val="32"/>
      <w:szCs w:val="32"/>
    </w:rPr>
  </w:style>
  <w:style w:type="character" w:customStyle="1" w:styleId="345">
    <w:name w:val="日期 Char2"/>
    <w:semiHidden/>
    <w:qFormat/>
    <w:uiPriority w:val="99"/>
    <w:rPr>
      <w:rFonts w:ascii="Calibri" w:hAnsi="Calibri" w:eastAsia="宋体" w:cs="Times New Roman"/>
    </w:rPr>
  </w:style>
  <w:style w:type="character" w:customStyle="1" w:styleId="346">
    <w:name w:val="批注框文本 Char2"/>
    <w:semiHidden/>
    <w:qFormat/>
    <w:uiPriority w:val="99"/>
    <w:rPr>
      <w:rFonts w:ascii="Calibri" w:hAnsi="Calibri" w:eastAsia="宋体" w:cs="Times New Roman"/>
      <w:sz w:val="18"/>
      <w:szCs w:val="18"/>
    </w:rPr>
  </w:style>
  <w:style w:type="character" w:customStyle="1" w:styleId="347">
    <w:name w:val="标题 4 字符"/>
    <w:link w:val="206"/>
    <w:qFormat/>
    <w:uiPriority w:val="0"/>
    <w:rPr>
      <w:rFonts w:ascii="Cambria" w:hAnsi="Cambria" w:eastAsia="宋体" w:cs="Times New Roman"/>
      <w:b/>
      <w:bCs/>
      <w:sz w:val="28"/>
      <w:szCs w:val="28"/>
    </w:rPr>
  </w:style>
  <w:style w:type="character" w:customStyle="1" w:styleId="348">
    <w:name w:val="列出段落 Char"/>
    <w:link w:val="228"/>
    <w:qFormat/>
    <w:uiPriority w:val="99"/>
    <w:rPr>
      <w:sz w:val="21"/>
      <w:szCs w:val="24"/>
    </w:rPr>
  </w:style>
  <w:style w:type="character" w:customStyle="1" w:styleId="349">
    <w:name w:val="表格文字 字符"/>
    <w:link w:val="245"/>
    <w:qFormat/>
    <w:uiPriority w:val="0"/>
    <w:rPr>
      <w:rFonts w:ascii="Calibri" w:hAnsi="Calibri" w:eastAsia="宋体" w:cs="Times New Roman"/>
      <w:sz w:val="21"/>
      <w:szCs w:val="22"/>
    </w:rPr>
  </w:style>
  <w:style w:type="paragraph" w:customStyle="1" w:styleId="350">
    <w:name w:val="修订2"/>
    <w:hidden/>
    <w:semiHidden/>
    <w:qFormat/>
    <w:uiPriority w:val="99"/>
    <w:rPr>
      <w:rFonts w:ascii="Times New Roman" w:hAnsi="Times New Roman" w:eastAsia="宋体" w:cs="Times New Roman"/>
      <w:sz w:val="21"/>
      <w:szCs w:val="24"/>
      <w:lang w:val="en-US" w:eastAsia="zh-CN" w:bidi="ar-SA"/>
    </w:rPr>
  </w:style>
  <w:style w:type="character" w:customStyle="1" w:styleId="351">
    <w:name w:val="正文首行缩进 Char"/>
    <w:basedOn w:val="326"/>
    <w:link w:val="42"/>
    <w:semiHidden/>
    <w:qFormat/>
    <w:uiPriority w:val="0"/>
    <w:rPr>
      <w:rFonts w:eastAsia="幼圆"/>
      <w:b w:val="0"/>
      <w:bCs w:val="0"/>
      <w:sz w:val="21"/>
      <w:szCs w:val="24"/>
    </w:rPr>
  </w:style>
  <w:style w:type="character" w:customStyle="1" w:styleId="352">
    <w:name w:val="未处理的提及1"/>
    <w:basedOn w:val="46"/>
    <w:semiHidden/>
    <w:unhideWhenUsed/>
    <w:qFormat/>
    <w:uiPriority w:val="99"/>
    <w:rPr>
      <w:color w:val="605E5C"/>
      <w:shd w:val="clear" w:color="auto" w:fill="E1DFDD"/>
    </w:rPr>
  </w:style>
  <w:style w:type="paragraph" w:customStyle="1" w:styleId="353">
    <w:name w:val="TOC 标题2"/>
    <w:basedOn w:val="203"/>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bCs w:val="0"/>
      <w:color w:val="366091" w:themeColor="accent1" w:themeShade="BF"/>
      <w:szCs w:val="32"/>
    </w:rPr>
  </w:style>
  <w:style w:type="paragraph" w:styleId="354">
    <w:name w:val="List Paragraph"/>
    <w:basedOn w:val="1"/>
    <w:qFormat/>
    <w:uiPriority w:val="34"/>
    <w:pPr>
      <w:ind w:firstLine="420"/>
    </w:p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修订3"/>
    <w:hidden/>
    <w:unhideWhenUsed/>
    <w:qFormat/>
    <w:uiPriority w:val="99"/>
    <w:rPr>
      <w:rFonts w:ascii="Times New Roman" w:hAnsi="Times New Roman" w:eastAsia="宋体" w:cs="Times New Roman"/>
      <w:sz w:val="21"/>
      <w:szCs w:val="24"/>
      <w:lang w:val="en-US" w:eastAsia="zh-CN" w:bidi="ar-SA"/>
    </w:rPr>
  </w:style>
  <w:style w:type="paragraph" w:customStyle="1" w:styleId="357">
    <w:name w:val="标题 61"/>
    <w:basedOn w:val="1"/>
    <w:next w:val="1"/>
    <w:qFormat/>
    <w:uiPriority w:val="0"/>
    <w:pPr>
      <w:keepNext/>
      <w:keepLines/>
      <w:numPr>
        <w:ilvl w:val="5"/>
        <w:numId w:val="3"/>
      </w:numPr>
      <w:spacing w:before="240" w:after="64" w:line="320" w:lineRule="auto"/>
      <w:outlineLvl w:val="5"/>
    </w:pPr>
    <w:rPr>
      <w:rFonts w:ascii="Arial" w:hAnsi="Arial" w:eastAsia="黑体"/>
      <w:b/>
      <w:bCs/>
      <w:sz w:val="24"/>
    </w:rPr>
  </w:style>
  <w:style w:type="paragraph" w:customStyle="1" w:styleId="358">
    <w:name w:val="标题 71"/>
    <w:basedOn w:val="1"/>
    <w:next w:val="1"/>
    <w:qFormat/>
    <w:uiPriority w:val="0"/>
    <w:pPr>
      <w:keepNext/>
      <w:keepLines/>
      <w:numPr>
        <w:ilvl w:val="6"/>
        <w:numId w:val="3"/>
      </w:numPr>
      <w:spacing w:before="240" w:after="64" w:line="320" w:lineRule="auto"/>
      <w:outlineLvl w:val="6"/>
    </w:pPr>
    <w:rPr>
      <w:b/>
      <w:bCs/>
      <w:sz w:val="24"/>
    </w:rPr>
  </w:style>
  <w:style w:type="paragraph" w:customStyle="1" w:styleId="359">
    <w:name w:val="标题 81"/>
    <w:basedOn w:val="1"/>
    <w:next w:val="1"/>
    <w:qFormat/>
    <w:uiPriority w:val="0"/>
    <w:pPr>
      <w:keepNext/>
      <w:keepLines/>
      <w:numPr>
        <w:ilvl w:val="7"/>
        <w:numId w:val="3"/>
      </w:numPr>
      <w:spacing w:before="240" w:after="64" w:line="320" w:lineRule="auto"/>
      <w:outlineLvl w:val="7"/>
    </w:pPr>
    <w:rPr>
      <w:rFonts w:ascii="Arial" w:hAnsi="Arial" w:eastAsia="黑体"/>
      <w:sz w:val="24"/>
    </w:rPr>
  </w:style>
  <w:style w:type="paragraph" w:customStyle="1" w:styleId="360">
    <w:name w:val="标题 91"/>
    <w:basedOn w:val="1"/>
    <w:next w:val="1"/>
    <w:qFormat/>
    <w:uiPriority w:val="0"/>
    <w:pPr>
      <w:keepNext/>
      <w:keepLines/>
      <w:numPr>
        <w:ilvl w:val="8"/>
        <w:numId w:val="3"/>
      </w:numPr>
      <w:spacing w:before="240" w:after="64" w:line="320" w:lineRule="auto"/>
      <w:outlineLvl w:val="8"/>
    </w:pPr>
    <w:rPr>
      <w:rFonts w:ascii="Arial" w:hAnsi="Arial" w:eastAsia="黑体"/>
      <w:szCs w:val="21"/>
    </w:rPr>
  </w:style>
  <w:style w:type="character" w:customStyle="1" w:styleId="361">
    <w:name w:val="正文缩进 Char"/>
    <w:link w:val="8"/>
    <w:qFormat/>
    <w:uiPriority w:val="0"/>
    <w:rPr>
      <w:b/>
      <w:sz w:val="24"/>
    </w:rPr>
  </w:style>
  <w:style w:type="paragraph" w:customStyle="1" w:styleId="362">
    <w:name w:val="修订4"/>
    <w:hidden/>
    <w:unhideWhenUsed/>
    <w:qFormat/>
    <w:uiPriority w:val="99"/>
    <w:rPr>
      <w:rFonts w:ascii="Times New Roman" w:hAnsi="Times New Roman" w:eastAsia="宋体" w:cs="Times New Roman"/>
      <w:sz w:val="21"/>
      <w:szCs w:val="24"/>
      <w:lang w:val="en-US" w:eastAsia="zh-CN" w:bidi="ar-SA"/>
    </w:rPr>
  </w:style>
  <w:style w:type="character" w:customStyle="1" w:styleId="363">
    <w:name w:val="页眉 Char"/>
    <w:basedOn w:val="46"/>
    <w:link w:val="27"/>
    <w:semiHidden/>
    <w:qFormat/>
    <w:uiPriority w:val="99"/>
    <w:rPr>
      <w:sz w:val="18"/>
      <w:szCs w:val="18"/>
    </w:rPr>
  </w:style>
  <w:style w:type="character" w:customStyle="1" w:styleId="364">
    <w:name w:val="页脚 Char"/>
    <w:basedOn w:val="46"/>
    <w:link w:val="26"/>
    <w:semiHidden/>
    <w:qFormat/>
    <w:uiPriority w:val="99"/>
    <w:rPr>
      <w:sz w:val="18"/>
      <w:szCs w:val="18"/>
    </w:rPr>
  </w:style>
  <w:style w:type="paragraph" w:customStyle="1" w:styleId="365">
    <w:name w:val="Table Paragraph"/>
    <w:basedOn w:val="1"/>
    <w:qFormat/>
    <w:uiPriority w:val="1"/>
    <w:pPr>
      <w:autoSpaceDE w:val="0"/>
      <w:autoSpaceDN w:val="0"/>
      <w:jc w:val="left"/>
    </w:pPr>
    <w:rPr>
      <w:rFonts w:ascii="宋体" w:hAnsi="宋体" w:cs="宋体"/>
      <w:sz w:val="22"/>
      <w:szCs w:val="22"/>
      <w:lang w:val="zh-CN" w:bidi="zh-CN"/>
    </w:rPr>
  </w:style>
  <w:style w:type="character" w:customStyle="1" w:styleId="366">
    <w:name w:val="标题 4 Char"/>
    <w:basedOn w:val="46"/>
    <w:link w:val="5"/>
    <w:qFormat/>
    <w:uiPriority w:val="0"/>
    <w:rPr>
      <w:rFonts w:asciiTheme="majorHAnsi" w:hAnsiTheme="majorHAnsi" w:eastAsiaTheme="majorEastAsia" w:cstheme="majorBidi"/>
      <w:b/>
      <w:bCs/>
      <w:kern w:val="2"/>
      <w:sz w:val="28"/>
      <w:szCs w:val="28"/>
    </w:rPr>
  </w:style>
  <w:style w:type="character" w:customStyle="1" w:styleId="367">
    <w:name w:val="标题 1 Char1"/>
    <w:basedOn w:val="46"/>
    <w:link w:val="2"/>
    <w:qFormat/>
    <w:uiPriority w:val="9"/>
    <w:rPr>
      <w:b/>
      <w:bCs/>
      <w:kern w:val="44"/>
      <w:sz w:val="44"/>
      <w:szCs w:val="44"/>
    </w:rPr>
  </w:style>
  <w:style w:type="paragraph" w:customStyle="1" w:styleId="368">
    <w:name w:val="列表段落1"/>
    <w:basedOn w:val="1"/>
    <w:qFormat/>
    <w:uiPriority w:val="99"/>
    <w:pPr>
      <w:ind w:firstLine="420" w:firstLineChars="200"/>
    </w:pPr>
    <w:rPr>
      <w:kern w:val="2"/>
      <w:szCs w:val="20"/>
    </w:rPr>
  </w:style>
  <w:style w:type="character" w:customStyle="1" w:styleId="369">
    <w:name w:val="标题 2 Char"/>
    <w:basedOn w:val="46"/>
    <w:link w:val="3"/>
    <w:semiHidden/>
    <w:qFormat/>
    <w:uiPriority w:val="9"/>
    <w:rPr>
      <w:rFonts w:asciiTheme="majorHAnsi" w:hAnsiTheme="majorHAnsi" w:eastAsiaTheme="majorEastAsia" w:cstheme="majorBidi"/>
      <w:b/>
      <w:bCs/>
      <w:sz w:val="32"/>
      <w:szCs w:val="32"/>
    </w:rPr>
  </w:style>
  <w:style w:type="character" w:customStyle="1" w:styleId="370">
    <w:name w:val="标题 3 Char"/>
    <w:basedOn w:val="46"/>
    <w:link w:val="4"/>
    <w:semiHidden/>
    <w:qFormat/>
    <w:uiPriority w:val="9"/>
    <w:rPr>
      <w:b/>
      <w:bCs/>
      <w:sz w:val="32"/>
      <w:szCs w:val="32"/>
    </w:rPr>
  </w:style>
  <w:style w:type="character" w:customStyle="1" w:styleId="371">
    <w:name w:val="正文首行缩进 2 Char"/>
    <w:basedOn w:val="288"/>
    <w:link w:val="43"/>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9"/>
    <customShpInfo spid="_x0000_s4100"/>
    <customShpInfo spid="_x0000_s4097"/>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7CC285-047A-406A-AAEA-DFC597FF7992}">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40</Pages>
  <Words>3904</Words>
  <Characters>22258</Characters>
  <Lines>185</Lines>
  <Paragraphs>52</Paragraphs>
  <TotalTime>79</TotalTime>
  <ScaleCrop>false</ScaleCrop>
  <LinksUpToDate>false</LinksUpToDate>
  <CharactersWithSpaces>26110</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2021-03-26T03:19:00Z</dcterms:created>
  <dc:creator>Lenovo User</dc:creator>
  <cp:lastModifiedBy>41361</cp:lastModifiedBy>
  <dcterms:modified xsi:type="dcterms:W3CDTF">2026-07-10T06:08:05Z</dcterms:modified>
  <dc:title>公开招标文件</dc:title>
  <cp:revision>372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C59C6A739557412B9D082315A10456A7_13</vt:lpwstr>
  </property>
  <property fmtid="{D5CDD505-2E9C-101B-9397-08002B2CF9AE}" pid="4" name="KSOTemplateDocerSaveRecord">
    <vt:lpwstr>eyJoZGlkIjoiZTkyMTZiYjY0N2EzMTU4ZmFmODQzYjQ1ZmFiZjYzNDAiLCJ1c2VySWQiOiI2NTQ2NzM1MDIifQ==</vt:lpwstr>
  </property>
</Properties>
</file>